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AC.2014.0393 vom 29. Mai 2015</w:t>
      </w:r>
    </w:p>
    <w:p>
      <w:r>
        <w:t>VD Tribunal cantonal, 2015-05-29, FR</w:t>
      </w:r>
    </w:p>
    <w:p>
      <w:r>
        <w:rPr>
          <w:b/>
        </w:rPr>
        <w:t xml:space="preserve">Quelle: </w:t>
      </w:r>
      <w:r>
        <w:t>https://mcp.opencaselaw.ch/entscheid/vd_omni_AC.2014.0393</w:t>
      </w:r>
    </w:p>
    <w:p>
      <w:r>
        <w:t>FR: VD_OMNI AC.2014.0393 du 29 mai 2015</w:t>
      </w:r>
    </w:p>
    <w:p>
      <w:r>
        <w:t>IT: VD_OMNI AC.2014.0393 del 29 maggio 2015</w:t>
      </w:r>
    </w:p>
    <w:p>
      <w:pPr>
        <w:pStyle w:val="Heading2"/>
      </w:pPr>
      <w:r>
        <w:t>Regeste</w:t>
      </w:r>
    </w:p>
    <w:p>
      <w:r>
        <w:t>LÜTHI/Municipalité de Valeyres-s/Rances, VIDMER | La municipalité n'a pas excédé le pouvoir d'appréciation qui lui est reconnu en la matière en autorisant, au bout d'une lignée de quatorze villas jumelles, la construction d'une villa traditionnelle comprenant deux appartements. Le site bâti ne mérite aucune protection particulière et l’on ne voit en tout cas pas que la villa projetée ne s’y intégrerait pas, même si sa hauteur dépassera légèrement le faîte des deux villas immédiatement en amont. Rejet du recours.</w:t>
      </w:r>
    </w:p>
    <w:p>
      <w:pPr>
        <w:pStyle w:val="Heading2"/>
      </w:pPr>
      <w:r>
        <w:t>Erwägungen</w:t>
      </w:r>
    </w:p>
    <w:p>
      <w:r>
        <w:rPr>
          <w:b/>
        </w:rPr>
        <w:t>E. 1</w:t>
      </w:r>
    </w:p>
    <w:p>
      <w:r>
        <w:t>a)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120 Ib 431 consid. 1 p. 433). Il doit ainsi invoquer des dispositions du droit public des constructions dont l’application est susceptible d'avoir une incidence sur sa situation de fait ou de droit (ATF 137 II 30 consid. 2.2.3 et 2.3. p. 133ss). b) En leur qualité de copropriétaires de la parcelle bordant la limite Nord/Est de la parcelle n°535, les recourants sont voisins directs de la construction projetée. Ils sont ainsi directement touchés par la décision attaquée. Ils ont en outre participé à la procédure précédente en déposant une opposition. Leur qualité pour déférer la décision autorisant le constructeur à réaliser son projet ne souffre par conséquent d’aucune discussion.</w:t>
      </w:r>
    </w:p>
    <w:p>
      <w:r>
        <w:rPr>
          <w:b/>
        </w:rPr>
        <w:t>E. 2</w:t>
      </w:r>
    </w:p>
    <w:p>
      <w:r>
        <w:t>, qu’une villa individuelle pour une seule famille. Aucune disposition du règlement n’imposait toutefois au constructeur de limiter de la sorte l’ampleur et l’affectation de son projet. De même, l’on ne voit pas ce qui le contraindrait à décaler l’implantation de la villa projetée en direction du Sud/Est, comme les recourants l’ont demandé en audience. b) Aux termes de l’art. 86 al. 1 de la loi cantonale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On cite à cet égard plusieurs dispositions topiques du RPGA: article 51 intégration paysagère 51.1 Un soin particulier sera apporté pour assurer une intégration au site pour toute nouvelle construction. Un plan détaillé des aménagements extérieurs présentant les mesures d’intégration dans la topographie naturelle et le site pour les dessertes, les places de parcs, les cheminements pour piétons, et toute construction fera partie du dossier d’enquête. - 51.2 Lors de la réalisation d’une construction sur une parcelle jouxtant la zone agricole, un espace de transition devra être créé par la plantation de buissons, arbustes ou arbres indigènes adapté à la station. Les impératifs de l’exploitation agricole voisine doivent être pris en compte. article 98 mesures contre l’enlaidissement La Municipalité prend toutes mesures propres à éviter l’enlaidissement du territoire communal. article 100 mesures particulières La municipalité peut, pour des raisons d’esthétique: 100.1 imposer une implantation, une pente de toit ou une orientation de faîte, 100.2 exiger la plantation d’arbres ou de haies, pour masquer les installations existantes et en fixer les essences, 100.3 prendre toutes mesures destinées à assurer un aspect convenable aux installations et travaux non soumis à autorisation, principalement à proximité des routes, chemins et sentiers. Selon la jurisprudence, il incombe au premier chef aux autorités communales de veiller à l'aspect architectural des constructions; elles disposent à cet égard d'un large pouvoir d'appréciation (ATF 115 Ia 114 consid. 3d p. 118, 363 consid. 3b p. 367). Dans ce cadre, l'autorité doit cependant prendre garde à ce que la clause d'esthétique ne vide pas pratiquement de sa substance la réglementation de la zone en vigueur (ATF 115 Ia 114 consid. 3d p. 119; 363 consid. 3a p. 366; 114 Ia 343 consid. 4c p.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(ATF 115 Ia 363 consid. 3a p. 367).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(ibid.), notamment, s'il s'agit de protéger un site, un bâtiment ou un ensemble de bâtiments présentant des qualités esthétiques remarquables qui font défaut à l'ouvrage projeté ou que mettrait en péril sa construction (ATF 1C_465/2010 du 31 mai 2011, consid. 3.2; 101 Ia 213 consid. 6c p. 222-223; arrêts AC.2011.0159 du 19 décembre 2011; AC.2002.0195, AC.2004.0102, précités). Toujours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115 Ia 363 consid. 3a p. 367; 114 I a 343 consid. 4b p. 346; 101 Ia 223 consid. 6c; cf., outre arrêts AC.2002.0195, AC.2004.0102, déjà cités, arrêt AC.2011.0271 du 12 septembre 2012).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AC.2011.0271, déjà cité; AC.2008.0206 du 30 décembre 2008; AC.2006.0097 du 13 mars 2007 et les arrêts cités). Une construction ou une installation s'intègre dans l'environnement lorsque son implantation et ses dimensions n'affectent ni les caractéristiques ni l'équilibre du site et si, par sa forme et les matériaux utilisés, elle en respecte l'originalité (ATF 1C_450/2008 du 19 mars 2009 consid. 2.4, réf. citée). La question de l'intégration d'une construction ou d'une installation à l'environnement bâti dans un site ne doit toutefois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(ATF 1C_506/2011 du 22 février 2012, consid. 3.3; 1P.581/1998 du 1 er février 1999, publié in RDAF 2000 I 288; 115 Ia 363 consid. 3b p. 367; 370 consid. 3 p. 373 et les arrêts cités). Il importe à cet égard de ne pas sacrifier à un goût ou à un sens esthétique particulièrement aigu, de manière que le poids de la subjectivité, inévitable dans toute appréciation, n'influe que dans les limites de principes éprouvés et par référence à des notions communément admises (arrêts AC.2008.0258 du 19 août 2009; AC.2008.0165 du 26 janvier 2009; AC.2008.0206 du 31 décembre 2008 et les références citées). c) Les recourants font pour l’essentiel valoir que la villa projetée serait trop volumineuse pour s’intégrer dans le quartier où elle doit prendre place. Les constructions érigées en amont de la parcelle n°535 se caractérisent sans doute par une certaine uniformité; en fait, les quatorze villas mitoyennes sises sur les parcelles nos 528 à 534 reproduisent toutes, deux par deux, la même configuration. Le constructeur a, comme on l’a dit plus haut, opté pour une villa individuelle d’un étage sur rez plus combles, occupée par deux appartements distincts. La villa projetée, dont la conception et l’aspect se distingueront assez nettement de ceux des autres villas, marquera à cet égard une césure, sans toutefois que le contraste n’apparaisse comme étant trop fort. En effet, les extrémités de la villa seront alignées, ainsi que l’architecte du constructeur l’a expliqué, sur celles des villas mitoyennes en amont. Quoi qu’il en soit, une telle distinction architecturale trouve ici sa justification dans la mesure où cette construction est la dernière de la lignée et figurera l’extrémité du quartier de villas. Du reste, le site bâti le long du chemin de Marex ne mérite pas de protection particulière; l’on ne voit en tout cas pas que la villa projetée ne s’y intégrerait pas. Certes, les recourants se plaignent de ce que cette villa apparaîtra comme étant trop massive. On a vu cependant que le projet est conforme aux règles de police de construction, dont celles régissant la distance, la hauteur et la volumétrie. Du reste, le constructeur n’a pas cherché à exploiter les possibilités maximales de bâtir qui lui sont offertes par la réglementation communale; les recourants ont eux-mêmes admis qu’un bâtiment d’une hauteur supérieure de 50cm aurait pu être réalisé sur cette parcelle. En outre, le faîte de la villa projetée dépassera légèrement celui de la villa des recourants et celle des époux Harnisch, sans toutefois que l’on puisse y voir un effet d’écrasement (cf. par comparaison, arrêt AC.2011.0271, déjà cité). Par ailleurs, il ressort de la demande de permis que des matériaux de revêtement traditionnels seront utilisés en façade et sur la toiture. On rappellera pour le surplus, comme la jurisprudence le répète constamment, que le permis de construire, tout au moins s'il s'agit de l'autorisation ordinaire de l'art. 22 al. 2 LAT, est une autorisation de police à laquelle le constructeur a droit lorsque les conditions formelles et matérielles posées par le droit public sont réunies (p. ex. en dernier lieu AC.2014.0400 du 20 mai 2015; AC.2014.0396 du 20 janvier 2015; AC.2013.0478 du 3 septembre 2014, et les références citées). Il n'y a donc pas de place pour une modification d'un projet conforme en fonction des souhaits des voisins. Dans ces conditions, en autorisant dans ce secteur la réalisation d’une villa somme toute traditionnelle, la municipalité n’a nullement excédé le pouvoir d’appréciation qui lui est reconnu en la présente matière.</w:t>
      </w:r>
    </w:p>
    <w:p>
      <w:r>
        <w:rPr>
          <w:b/>
        </w:rPr>
        <w:t>E. 3</w:t>
      </w:r>
    </w:p>
    <w:p>
      <w:r>
        <w:t>Il suit de ce qui précède que le recours ne peut qu’être rejeté et la décision attaquée, confirmée. Au vu du sort du recours, un émolument judiciaire sera mis à la charge des recourants (art. 49 al. 1, 91 et 99 LPA-VD) et ceux-ci verseront des dépens à la municipalité et au constructeur, qui obtiennent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