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AC.2014.0361 vom 31. August 2015</w:t>
      </w:r>
    </w:p>
    <w:p>
      <w:r>
        <w:t>VD Tribunal cantonal, 2015-08-31, FR</w:t>
      </w:r>
    </w:p>
    <w:p>
      <w:r>
        <w:rPr>
          <w:b/>
        </w:rPr>
        <w:t xml:space="preserve">Quelle: </w:t>
      </w:r>
      <w:r>
        <w:t>https://mcp.opencaselaw.ch/entscheid/vd_omni_AC.2014.0361</w:t>
      </w:r>
    </w:p>
    <w:p>
      <w:r>
        <w:t>FR: VD_OMNI AC.2014.0361 du 31 août 2015</w:t>
      </w:r>
    </w:p>
    <w:p>
      <w:r>
        <w:t>IT: VD_OMNI AC.2014.0361 del 31 agosto 2015</w:t>
      </w:r>
    </w:p>
    <w:p>
      <w:pPr>
        <w:pStyle w:val="Heading2"/>
      </w:pPr>
      <w:r>
        <w:t>Regeste</w:t>
      </w:r>
    </w:p>
    <w:p>
      <w:r>
        <w:t>BELIN/Municipalité de Lignerolle | Recours des constructeurs contre une décision refusant de leur délivrer un permis de construire en vue de la régularisation d'un couvert à voitures construit sans autorisation. Les recourants ne sauraient se prévaloir d'assurances données en lien avec l'ouvrage litigieux, dès lors que le courrier de la municipalité auquel ils se réfèrent dans ce cadre concernait un autre projet. Cela étant, il n'est pas contesté que le couvert à voitures constitue une dépendance de peu d'importance, seule étant litigieuse la question de la prise en compte de cet ouvrage dans le calcul du coefficient d'occupation du sol (COS); à cet égard et quoi qu'en disent les recourants, la pratique constante dans le sens de la prise en compte des couvert à voitures dans le calcul du COS dont se prévaut l'autorité intimée doit être considérée comme établie - et est au demeurant conforme à la jurisprudence selon laquelle les constructions munies d'une couverture étanche doivent être comptées dans la surface bâtie. Pour le reste et compte tenu des circonstances, l'intérêt public à la remise en état (soit en particulier l'intérêt public au respect des règles sur le COS) l'emporte sur l'intérêt privé des constructeurs au maintien de l'ouvrage. Rejet du recours et confirmation de la décision attaquée.</w:t>
      </w:r>
    </w:p>
    <w:p>
      <w:pPr>
        <w:pStyle w:val="Heading2"/>
      </w:pPr>
      <w:r>
        <w:t>Erwägungen</w:t>
      </w:r>
    </w:p>
    <w:p>
      <w:r>
        <w:rPr>
          <w:b/>
        </w:rPr>
        <w:t>E. 1</w:t>
      </w:r>
    </w:p>
    <w:p>
      <w:r>
        <w:t>Les recourants se prévalent des assurances prétendument données par la municipalité relatives au caractère de minime importance de la construction litigieuse, se référant en particulier à une lettre du 13 mai 2008. a) Ancré à l'art. 9 de la Constitution fédérale,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(ATF 137 II 182 consid. 3.6.2 p. 193; 137 I 69 consid. 2.5.1 p. 72 s.). L'autorité doit avoir fait une promesse effective, c'est-à-dire être intervenue dans une situation donnée à l'égard de personnes déterminées. Elle doit avoir agi dans le cadre et dans les limites de ses compétences. La personne concernée ne doit pas avoir été en mesure de se rendre compte immédiatement de l'inexactitude du renseignement fourni et elle doit s'être fondée sur le renseignement pour prendre des dispositions qu'elle ne saurait modifier sans subir de préjudice. Enfin, la loi ne doit pas avoir subi de changement depuis le moment où la promesse a été faite. S'agissant des deux premières conditions, selon la jurisprudence rendue en matière de droit des constructions, il ne suffit pas que le service technique communal ait participé à la finalisation du projet, pour que l'on puisse en déduire que la municipalité a approuvé sans réserve le projet litigieux. Le service en question n'est en effet pas habilité à délivrer un permis de construire, compétence qui appartient, conformément aux art. 17 et 104 de la loi cantonale du 4 décembre 1985 sur l'aménagement du territoire et les constructions (LATC; RSV 700.1), à la seule municipalité, à l’exclusion notamment d’un conseiller municipal ou d’un fonctionnaire communal (AC.2006.0239 du 29 octobre 2007 consid. 4). b) En l’occurrence, le courrier dont les recourants se prévalent ne concerne pas le projet de couvert à voitures tel qu’il fait l’objet du présent recours mais un projet antérieur qui prévoyait également la construction d’un sas d’entrée. Ils ne sauraient dans ce contexte se prévaloir de la qualification opérée par la municipalité à l’époque pour prétendre à ce que l’objet litigieux soit à présent dispensé d’enquête publique. Dès la réalisation du couvert constatée, l’autorité intimée a en effet invariablement requis une mise à l’enquête publique ( a posteriori ) des travaux effectués en raison de l’ampleur des dérogations sollicitées et des conséquences que celles-ci seraient susceptibles d’avoir sur les intérêts dignes de protection des voisins. Ce grief doit par conséquent être rejeté.</w:t>
      </w:r>
    </w:p>
    <w:p>
      <w:r>
        <w:rPr>
          <w:b/>
        </w:rPr>
        <w:t>E. 2</w:t>
      </w:r>
    </w:p>
    <w:p>
      <w:r>
        <w:t>par rapport à la couverture maximale du sol autorisée. Il ressort de ce qui précède que cette installation doit être qualifiée de non réglementaire sous l’angle du COS.</w:t>
      </w:r>
    </w:p>
    <w:p>
      <w:r>
        <w:rPr>
          <w:b/>
        </w:rPr>
        <w:t>E. 3</w:t>
      </w:r>
    </w:p>
    <w:p>
      <w:r>
        <w:t>Il reste à examiner si, compte tenu de l'ensemble des circonstances, l'autorité intimée pouvait renoncer à exiger la démolition de l'ouvrage litigieux conformément au principe de proportionnalité. a) Selon l'art. 105 al. 1 LATC (cf. ég. art. 130 al. 2 LATC), la municipalité, à son défaut le département compétent, est en droit de faire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également la remise en état des lieux. Cela étant, la seule violation des dispositions de forme relatives à la procédure d'autorisation de construire est en principe insuffisante pour justifier l'ordre de démolition d'un ouvrage non autorisé, si l'ouvrage en cause est conforme aux prescriptions matérielles applicables. En outre, la violation du droit matériel par les travaux non autorisés ne suffit pas non plus à elle seule à justifier leur suppression; l'autorité doit bien plutôt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(arrêt AC.2012.0130 du 13 décembre 2012 consid. 9a et les références). L'ordre de démolir une construction ou un ouvrage édifié sans permis et pour lequel une autorisation ne pouvait être accordée n'est en principe pas contraire au principe de la proportionnalité. Celui qui place l'autorité devant un fait accompli doit en effet s'attendre à ce qu'elle se préoccupe davantage de rétablir une situation conforme au droit que d'éviter les inconvénients qui en découlent pour lui (ATF 123 II 248 consid. 4a et la référence). Les mesures de remise en état doivent toutefois être strictement limitées à ce qui est nécessaire pour atteindre le but recherché; l'autorité doit dans ce cadre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(cf. ATF 136 II 359; ATF 1C_543/2011 du 14 janvier 2013 consid. 5.1 et les références). En principe, le constructeur qui n'a pas agi de bonne foi peut également se prévaloir du principe de la proportionnalité à l'égard d'un ordre de démolition ou de remise en état. Il doit cependant s'accommoder du fait que les autorités, pour des raisons de principe - à savoir pour assurer l'égalité devant la loi et le respect de la réglementation sur les constructions - accordent une importance prépondérante au rétablissement d'une situation conforme au droit et ne prennent pas ou peu en considération les inconvénients qui en résultent pour le maître de l'ouvrage (arrêt AC.2012.0048 précité, consid. 2a et les références). b) En l’occurrence, les recourants ont procédé à la construction de leur couvert à voitures en passant outre le refus d’autorisation qui leur avait été notifié pour un premier projet de couvert le 10 juin 2008. Ils ont également poursuivi les travaux litigieux après réception d’un ordre d’arrêt des travaux de la municipalité daté du 24 octobre 2010 dont ils affirment ne pas avoir reçu copie mais qu’ils ont néanmoins contresigné en personne. En pareilles circonstances, invoquer - même implicitement - leur bonne foi dans le cadre du présent recours confine à la témérité. La municipalité a quant à elle invariablement exigé une mise à l’enquête de la construction litigieuse de sorte à garantir l’intérêt des voisins ainsi que l’intérêt public au respect des règles sur le COS. Celles-ci ont pour fonction principale de limiter l'emprise des constructions sur les parcelles en maintenant des espaces non construits de verdure autour de chaque bâtiment influençant ainsi la structure, la trame et la forme urbaine du quartier tel que prévus dans les plans d’affectation (cf. arrêt AC.2008.0251 du 28 mai 2009 consid. 6b et les références). Il s’agit donc d’un intérêt public important. S'agissant du dommage que causerait la démolition de l'ouvrage litigieux aux constructeurs, ces derniers ont souligné dans leur recours le caractère léger, démontable, sans paroi et sans encrage au sol de l’ouvrage. Le préjudice économique subi par les recourants lors de son démontage devrait dans ces conditions être limité, quand bien même aucun chiffre exact à ce propos n’a été formulé dans le cadre de la présente procédure. Il s'impose donc de constater que l'intérêt public à la démolition du couvert à voitures litigieux l'emporte incontestablement sur l'intérêt privé du constructeur au maintien de cet ouvrage.</w:t>
      </w:r>
    </w:p>
    <w:p>
      <w:r>
        <w:rPr>
          <w:b/>
        </w:rPr>
        <w:t>E. 4</w:t>
      </w:r>
    </w:p>
    <w:p>
      <w:r>
        <w:t>Au vu de ce qui précède, le recours doit être rejeté et la décision entreprise confirmée. Un émolument de justice est mis à la charge des recourants, solidairement entre eux. La Commune de Lignerolle n’ayant pas procédé par l'intermédiaire d'un mandataire professionnel,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