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AC.2014.0340 vom 9. Dezember 2014</w:t>
      </w:r>
    </w:p>
    <w:p>
      <w:r>
        <w:t>VD Tribunal cantonal, 2014-12-09, FR</w:t>
      </w:r>
    </w:p>
    <w:p>
      <w:r>
        <w:rPr>
          <w:b/>
        </w:rPr>
        <w:t xml:space="preserve">Quelle: </w:t>
      </w:r>
      <w:r>
        <w:t>https://mcp.opencaselaw.ch/entscheid/vd_omni_AC.2014.0340</w:t>
      </w:r>
    </w:p>
    <w:p>
      <w:r>
        <w:t>FR: VD_OMNI AC.2014.0340 du 9 décembre 2014</w:t>
      </w:r>
    </w:p>
    <w:p>
      <w:r>
        <w:t>IT: VD_OMNI AC.2014.0340 del 9 dicembre 2014</w:t>
      </w:r>
    </w:p>
    <w:p>
      <w:pPr>
        <w:pStyle w:val="Heading2"/>
      </w:pPr>
      <w:r>
        <w:t>Regeste</w:t>
      </w:r>
    </w:p>
    <w:p>
      <w:r>
        <w:t>PERRIER/Municipalité de Ste-Croix | Recours contre une décision levant l'opposition du recourant à l'encontre d'un projet de construction d'un bâtiment d'utilité publique. Le recourant est propriétaire d'une parcelle, distante d’environ 800 m, à vol d'oiseau, de la parcelle litigieuse, soit une distance qui selon la jurisprudence ne permet pas, en principe, d’admettre la qualité pour agir du voisin. Il ne peut pas non plus se prévaloir d’autres circonstances justifiant d’admettre qu’il est touché par le projet litigieux d’une manière se distinguant nettement de l'intérêt général des administrés. Irrecevabilité du recours.</w:t>
      </w:r>
    </w:p>
    <w:p>
      <w:pPr>
        <w:pStyle w:val="Heading2"/>
      </w:pPr>
      <w:r>
        <w:t>Erwägungen</w:t>
      </w:r>
    </w:p>
    <w:p>
      <w:r>
        <w:rPr>
          <w:b/>
        </w:rPr>
        <w:t>E. 1</w:t>
      </w:r>
    </w:p>
    <w:p>
      <w:r>
        <w:t>Il convient d’examiner la qualité pour agir du recourant.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a cependant relevé que cela ne signifie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(AC.20143.0399 du 30 mai 2014 consid. 2a; AC.2013.0280 du 12 mai 2014 consid. 1a et les références citées). b)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137 II 30 consid. 2.2.3; 135 II 145 consid. 6.1; 133 II 400 consid. 2.4.2; 133 V 239 consid. 6.2; 131 V 298 consid. 3 et les arrêts cités). c) En matière de construction , le voisin a qualité pour agir lorsque son terrain jouxte celui du constructeur ou se trouve à sa proximité immédiate ou, même en l'absence de voisinage direct, quand une distance relativement faible sépare l'immeuble du recourant de l'installation litigieuse (ATF 136 II 281 consid. 2.3.1; TF 1C_33/2011 du 12 juillet 2011 consid. 2.3 et les références citées). A été admise la qualité pour agir dans le cas où les parcelles litigieuses étaient distantes de 25 m (ATF 137 II 30 précité consid. 2.2.3), de 45 m (TF 1P.643/1989 du 4 octobre 1990), de 70 m (TF 1P.410/1988 du 12 juillet 1989), de 120 m (ATF 116 Ib 323 consid. 2 , défrichement dû à l'extension d'une gravière ) ou de 150 m (ATF 121 II 171 consid. 2c/bb; augmentation du trafic résultant de la réalisation d'un complexe hôtelier en montagne ). La qualité pour agir a été déniée dans des cas où cette distance était de 800 m (ATF 111 Ib 160 consid. 1b ; porcherie ), 600 m (TF 1A.179/1996 du 8 avril 1997 consid. 3a, reproduit in: RDAF 1997 I 242), 220 m (TF 1A.46/1998 du 9 novembre 1998 consid. 3c), 200 m (TF A.122/1983 du 2 novembre 1983, reproduit in: ZBl 85/1984 p. 378 ; chantier naval/hangar à bateaux ), 150 m (ATF 112 Ia 119 consid. 4b; locataire se plaignant de l'augmentation du trafic routier qui résulterait de la réalisation d'un projet immobilier en plaine ) et 100 m (TF 1C_342/2008 du 27 octobre 2008 consid. 2). Par ailleurs, le critère déterminant la qualité pour agir du voisin ne se résume pas à la distance séparant son fonds de celui destiné à recevoir l'installation incriminée. Le voisin doit en outre retirer un avantage pratique de l'annulation ou de la modification de l'arrêt contesté qui permette d'admettre qu'il est touché dans un intérêt personnel se distinguant nettement de l'intérêt général des autres habitants de la commune (ATF 137 II 30 précité consid. 2.3; 133 II 249 consid. 1.3.1; 120 Ib 431 consid. 1; cf. égal.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136 II 281 consid. 2.3.1; 125 II 10 consid. 3a; TF 1A.179/1996 précité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précité consid. 2.3.2).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du 27 décembre 2006 consid. 3.1; 1A.47/2002 du 16 avril 2002; cf. égal. AC.2013.0204 du 30 septembre 2013 consid 1c). Compte tenu de ces principes, la seule qualité d'usager, même régulier, d'une route, ne suffit pas à justifier un droit d'opposition; admettre le contraire reviendrait à reconnaître le droit de recourir à un cercle indéterminé de personnes sans aucun rapport de proximité avec le projet litigieux, ce que l'art. 89 al. 1 let. b LTF entend précisément exclure (TF 1C_463/2007 du 29 février 2008 consid. 3.3; 2A.115/2007 du 14 août 2007 concernant la suppression ou la restriction de possibilités de stationnement; 1A.11/2006 précité consid. 3.2; AC.2010.0046 du 17 janvier 2011 consid. 1; GE.2009.0157 du 17 décembre 2009). d) Le recourant est propriétaire de la parcelle n° 499, sise à la route du Levant 3, à Sainte-Croix. Il est domicilié à cette adresse. Cette parcelle est distante d’environ 800 m, à vol d'oiseau, de la parcelle litigieuse, soit une distance qui selon la jurisprudence précitée ne permet pas, en principe, d’admettre la qualité pour agir du voisin (ATF 111 Ib 160 précité consid. 1b). e) Il faut donc examiner si le recourant peut se prévaloir d’autres circonstances justifiant d’admettre qu’il est touché par le projet litigieux d’une manière se distinguant nettement de l'intérêt général des administrés (cf. supra consid. 1b). aa) Le recourant se prévaut de son intérêt en tant que propriétaire et architecte à l’application correcte de la réglementation communale en matière de constructions. Il se plaint également d’une inégalité de traitement dans l’application de ces normes. Comme il a été exposé plus haut, le recours d'un particulier formé dans l'intérêt de la loi n’est pas recevable. Par ailleurs, le recourant n’allègue pas être touché par le projet litigieux dans une mesure et avec une intensité plus grandes que d’autres propriétaires résidant à Sainte-Croix ou que d’autres architectes travaillant sur le territoire de cette commune. Ni sa qualité de propriétaire et ni celle darchitecte ne sauraient ainsi fonder sa qualité pour recourir au sens de la jurisprudence précitée (cf. supra, consid. 1b) . Il en va de même de sa qualité de contribuable (AC.2010.0046 précité consid. 3b). Quant à l’inégalité de traitement dont il se prévaut, force est de constater que l’admission du recours, sur ce point, ne lui procurerait aucun avantage concret de sorte qu’il ne dispose pas non plus, sous cet angle, de la qualité pour recourir (AC.2012.0205 du 19 février 2013 consid. 2b). bb) Le recourant se prévaut ensuite des nuisances et des problèmes de sécurité, en raison de la circulation induite par le projet litigieux, pour les piétons qui empruntent la rue des Métiers, dont il indique faire partie. Le seul fait qu’il emprunte, occasionnellement, ou même régulièrement, la rue des Métiers n’est toutefois pas suffisant; le Tribunal fédéral a jugé à cet égard que la seule qualité d'usager, même régulier, d'une route ou d’autres installations publiques telles les places de stationnement, ne suffit pas à justifier la qualité pour agir (TF 1C_81/2011 du 24 juin 2011 consid. 2.4; 1C_463/2007 précité consid. 1.3 et les arrêts cités). cc) Le recourant fait encore valoir son souci de sauvegarder le caractère bâti du village de Sainte-Croix, où il réside depuis sa naissance de même qu’il est intéressé par l’évolution urbanistique de son centre. Ces éléments ne sont pas non plus propres à fonder sa qualité pour recourir. Habitant dans une autre portion du territoire communal, il ne verra pas le bâtiment projeté depuis sa propriété. Là encore son recours est motivé par l’intérêt général de préserver les qualités urbanistiques du centre-ville de Sainte-Croix, ce qui n’est pas recevable vu la jurisprudence précitée. f) En conclusion, la qualité pour agir du recourant doit être niée et le recours déclaré irrecevable.</w:t>
      </w:r>
    </w:p>
    <w:p>
      <w:r>
        <w:rPr>
          <w:b/>
        </w:rPr>
        <w:t>E. 2</w:t>
      </w:r>
    </w:p>
    <w:p>
      <w:r>
        <w:t>Au vu des considérants qui précèdent, le recours est irrecevable. Le recourant qui succombe supportera les frais de justice (art. 49 LPA-VD), qui seront réduits étant donné que seule la question de la recevabilité a été examinée par le Tribunal. La Municipalité ayant procédé avec l'assistance d'un mandataire professionnel, il convient de lui allouer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