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AC.2014.0293 vom 3. November 2014</w:t>
      </w:r>
    </w:p>
    <w:p>
      <w:r>
        <w:t>VD Tribunal cantonal, 2014-11-03, FR</w:t>
      </w:r>
    </w:p>
    <w:p>
      <w:r>
        <w:rPr>
          <w:b/>
        </w:rPr>
        <w:t xml:space="preserve">Quelle: </w:t>
      </w:r>
      <w:r>
        <w:t>https://mcp.opencaselaw.ch/entscheid/vd_omni_AC.2014.0293</w:t>
      </w:r>
    </w:p>
    <w:p>
      <w:r>
        <w:t>FR: VD_OMNI AC.2014.0293 du 3 novembre 2014</w:t>
      </w:r>
    </w:p>
    <w:p>
      <w:r>
        <w:t>IT: VD_OMNI AC.2014.0293 del 3 novembre 2014</w:t>
      </w:r>
    </w:p>
    <w:p>
      <w:pPr>
        <w:pStyle w:val="Heading2"/>
      </w:pPr>
      <w:r>
        <w:t>Regeste</w:t>
      </w:r>
    </w:p>
    <w:p>
      <w:r>
        <w:t>MAURON/Municipalité de Villars-Ste-Croix, SERMET | Opposition levée et permis de construire délivré sans aucune motivation. La décision ne comporte pas même de référence à un article de loi. Il ne résulte pas non plus du dossier que les motifs pour lesquels l'autorité intimée a levé l'opposition auraient fait l'objet d'une communication préalable à la recourante. La violation du droit d'être entendu est grave et ne peut pas être guérie devant le tribunal de céans. Recours admis selon la procédure simplifiée de l'art. 82 LPA-VD.</w:t>
      </w:r>
    </w:p>
    <w:p>
      <w:pPr>
        <w:pStyle w:val="Heading2"/>
      </w:pPr>
      <w:r>
        <w:t>Erwägungen</w:t>
      </w:r>
    </w:p>
    <w:p>
      <w:r>
        <w:rPr>
          <w:b/>
        </w:rPr>
        <w:t>E. 1</w:t>
      </w:r>
    </w:p>
    <w:p>
      <w:r>
        <w:t>a) Les parties ont le droit d'être entendues (art. 29 al. 2 Cst.; art. 17 al. 2 de la Constitution du canton de Vaud du 14 avril 2003 [Cst.-VD; RSV 101.01]; art. 33 ss LPA-VD). Le droit d'être entendu implique notamment pour le juge, respectivement l'autorité, l'obligation de motiver sa décision (cf.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cf.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cf. également, parmi d’autres,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 / Etienne Poltier, Droit administratif, vol. II, 3 ème éd., Berne 2011, ch. 2.2.7.4 p. 324; arrêts GE.2012.0124 du 15 novembre 2012 , AC.20 11.0170 du 31 août 2011 ). La jurisprudence cantonale a ainsi déjà considéré à maintes reprises qu'il n'appartient pas au tribunal de reconstituer, comme s'il était l'instance précédente, l'état de fait ou la motivation qu'aurait dû comporter la décision attaquée (arrêt AC.2013.0243 et les nombreuses références citées).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lorsqu'un grand nombre de décisions de même type sont rendues et qu'elles peuvent faire l'objet d'une réclamation. b) En l'espèce, la motivation de la décision attaquée est tout simplement inexistante. La décision ne comporte pas même de référence à un article de loi. Il ne résulte pas non plus du dossier que les motifs pour lesquels l’autorité intimée a levé l’opposition auraient fait l’objet d’une communication préalable à la recourante. Celle-ci ne connaît par conséquent pas les raisons pour lesquelles son opposition a été écartée. La violation du droit d’être entendu est grave et ne peut pas être guérie devant le tribunal de céans. Il ne peut être conforme à la loi d’exiger des justiciables de recourir auprès du Tribunal cantonal pour obtenir les motifs des décisions les concernant. Il convient dès lors d’admettre le recours.</w:t>
      </w:r>
    </w:p>
    <w:p>
      <w:r>
        <w:rPr>
          <w:b/>
        </w:rPr>
        <w:t>E. 2</w:t>
      </w:r>
    </w:p>
    <w:p>
      <w:r>
        <w:t>Fondé sur ce qui précède, le recours doit être admis selon la procédure simplifiée de l'art. 82 LPA-VD et la décision contestée annulée.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 en l'espèce, les constructeurs -, c'est en principe à cette partie adverse déboutée, à l'exclusion de la collectivité publique dont la décision est annulée ou modifiée, d'assumer les frais et dépens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AC.2009.0106 du 3 juillet 2009 consid. 2 et les références). Tel est le cas en l'espèce, compte tenu de l’absence totale de motivation de la décision attaquée et du fait que l'admission du recours ne préjuge en rien du bien ou du mal fondé de la position adoptée par les constructeurs (cf. arrêt FO.2001.0016 du 21 avril 2004 consid. 6), de sorte que l'émolument de justice et l'indemnité due à titre de dépens à la recourante, laquelle a obtenu gain de cause avec le concours d'un avocat, doivent être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