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AC.2014.0238 vom 6. Oktober 2015</w:t>
      </w:r>
    </w:p>
    <w:p>
      <w:r>
        <w:t>VD Tribunal cantonal, 2015-10-06, FR</w:t>
      </w:r>
    </w:p>
    <w:p>
      <w:r>
        <w:rPr>
          <w:b/>
        </w:rPr>
        <w:t xml:space="preserve">Quelle: </w:t>
      </w:r>
      <w:r>
        <w:t>https://mcp.opencaselaw.ch/entscheid/vd_omni_AC.2014.0238</w:t>
      </w:r>
    </w:p>
    <w:p>
      <w:r>
        <w:t>FR: VD_OMNI AC.2014.0238 du 6 octobre 2015</w:t>
      </w:r>
    </w:p>
    <w:p>
      <w:r>
        <w:t>IT: VD_OMNI AC.2014.0238 del 6 ottobre 2015</w:t>
      </w:r>
    </w:p>
    <w:p>
      <w:pPr>
        <w:pStyle w:val="Heading2"/>
      </w:pPr>
      <w:r>
        <w:t>Regeste</w:t>
      </w:r>
    </w:p>
    <w:p>
      <w:r>
        <w:t>REYMOND FRERES SA/Département du territoire et de l’environnement, Municipalité de Coinsins, Municipalité de Duillier | Admission du recours interjeté par le bénéficiaire d'un droit distinct et permanent immatriculé comme immeuble au Registre foncier contre la décision du Département du territoire et de l'environnement d'inclure la parcelle y relative dans la zone de protection S3 d'un captage d'eau. Le classement en zone de protection éloignée (zone S3) répond à des critères juridiques dont le but est d'assurer qu'en cas de danger imminent susceptible de polluer les eaux, on dispose de suffisamment de temps (temps de transfert de moins de 20 jours) et d'espace (distance de la zone S3 grosso modo égale à celle de la zone S2) pour prendre les mesures qui s'imposent. Or en l'espèce, le point le plus proche de la parcelle litigieuse est situé à 220 m de la zone S2, laquelle se trouve à environ 80 m de la zone S1, de sorte que le critère spatial est largement dépassé. Quant au critère temporel, l'un des rapports hydrogéologiques mentionne qu'une pollution "rapide" n'est pas à craindre et aucun des deux rapports ne fait état d'un temps de transfert inférieur à 20 jours, ce que n'allègue d'ailleurs pas l'autorité intimée. Dans ces conditions, il ne lui était pas loisible d'inclure la parcelle litigieuse dans la zone S3, au motif que les deux essais d'infiltration ayant donné des résultats négatifs ne permettaient pas d'exclure un hypothétique lien hydraulique avec le captage. Ce faisant, l'autorité intimée a porté atteinte au droit de propriété sur la parcelle litigieuse en violation du principe de proportionnalité (proportionnalité au sens étroit) en utilisant la zone S3 pour garantir une protection allant au-delà de celle prévue par la loi. En conséquence, la décision entreprise est réformée en ce sens que la parcelle litigieuse est exclue du périmètre de protection de la zone S3.</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et respecte au surplus les conditions formelles énoncées à l'art. 79 LPA-VD, applicables par renvoi de l'art. 99 LPA-VD. Le pourvoi est interjeté par Reymond Frères (ci-après: la recourante), qui revêt indéniablement la qualité pour recourir en tant qu'elle est au bénéfice du DDP 231, grevant la parcelle n o 230, englobé dans la zone de protection S3 du plan litigieux. En conséquence, il y a lieu d'entrer en matière sur le fond.</w:t>
      </w:r>
    </w:p>
    <w:p>
      <w:r>
        <w:rPr>
          <w:b/>
        </w:rPr>
        <w:t>E. 2</w:t>
      </w:r>
    </w:p>
    <w:p>
      <w:r>
        <w:t>En substance, avant d'examiner les griefs soulevés par la recourante, il convient de rappeler le cadre juridique dans lequel s'inscrit l'élaboration des plans de protection des eaux.</w:t>
      </w:r>
    </w:p>
    <w:p>
      <w:r>
        <w:rPr>
          <w:b/>
        </w:rPr>
        <w:t>E. 3</w:t>
      </w:r>
    </w:p>
    <w:p>
      <w:r>
        <w:t>En cas de carence du propriétaire du captage, le département sur préavis du Laboratoire cantonal lui impartit un délai, en tenant compte de l'urgence que présente dans chaque cas la protection des eaux souterraines. Passé ce délai, les études hydrogéologiques sont effectuées par le département aux frais du propriétaire du captage. Si le captage ne présente pas un intérêt général, sa mise hors service peut être ordonnée.</w:t>
      </w:r>
    </w:p>
    <w:p>
      <w:r>
        <w:rPr>
          <w:b/>
        </w:rPr>
        <w:t>E. 4</w:t>
      </w:r>
    </w:p>
    <w:p>
      <w:r>
        <w:t>Le Service des eaux, sols et assainissement examine avec le propriétaire du bien-fonds, les études hydrogéologiques présentées par le propriétaire du captage; il recueille le préavis de l'autorité compétente de la commune territoriale et du Laboratoire cantonal.</w:t>
      </w:r>
    </w:p>
    <w:p>
      <w:r>
        <w:rPr>
          <w:b/>
        </w:rPr>
        <w:t>E. 5</w:t>
      </w:r>
    </w:p>
    <w:p>
      <w:r>
        <w:t>Le Service des eaux, sols et assainissement fait établir un plan de délimitation des zones de protection SI, SII, SIII composé : a.   d'un plan précisant les limites de propriété, le numéro des parcelles et mentionnant le nom des propriétaires intéressés, à l'échelle du plan cadastral; b.  de la liste des restrictions d'utilisation des biens-fonds situés en zones SI, SII et SIII; c.   d'une réglementation sur les installations existantes (mises en état ou mises hors service), dans le respect des buts fixés par la loi fédérale et du principe de la proportionnalité.</w:t>
      </w:r>
    </w:p>
    <w:p>
      <w:r>
        <w:rPr>
          <w:b/>
        </w:rPr>
        <w:t>E. 6</w:t>
      </w:r>
    </w:p>
    <w:p>
      <w:r>
        <w:t>Enfin, si les instructions de l’OFEFP précisent qu'il convient de prendre en compte les limites "pratiques" permettant d'adapter la délimitation aux conditions locales (p. ex. éléments du relief, limites parcellaires, constructions et installations, etc.), la délimitation des zones de protection doit se faire en premier lieu sur le fondement de critères "hydrogéologiques purs". Ce n’est que dans un second temps qu'il faut y superposer d’éventuelles limites pratiques. Or, en l'espèce, la délimitation pratique au niveau de la route cantonale – dont on précisera au passage qu'elle n'est pas soumise à la zone S3 – aurait été judicieuse, mais que si la délimitation hydrogéologique avait conduit à intégrer le DDP 231 dans la zone de protection S3. Comme tel ne doit pas être le cas, il se justifie que la délimitation pratique de la zone S3 suive, à cet endroit, les limites cadastrales du DDP 231, conformément aux instructions de l’OFEFP.</w:t>
      </w:r>
    </w:p>
    <w:p>
      <w:r>
        <w:rPr>
          <w:b/>
        </w:rPr>
        <w:t>E. 7</w:t>
      </w:r>
    </w:p>
    <w:p>
      <w:r>
        <w:t>Il résulte des considérants qui précèdent que le recours doit être admis et la décision entreprise annulée en ce qu'elle concerne le DDP 231 de la Commune de Coinsins. C'est en effet à tort que cette parcelle a été incluse dans la zone de protection S3. Vu l'issue du litige, il n'est pas nécessaire d'examiner les griefs procéduraux soulevés par la recourante. Il se justifie de statuer sans frais (49 al. 1, 52 al. 1, 91 et 99 LPA-VD). La recourante, qui obtient gain de cause en ayant procédé avec l'assistance d'un mandataire professionnel, a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