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AC.2014.0211 vom 30. Juli 2015</w:t>
      </w:r>
    </w:p>
    <w:p>
      <w:r>
        <w:t>VD Tribunal cantonal, 2015-07-30, FR</w:t>
      </w:r>
    </w:p>
    <w:p>
      <w:r>
        <w:rPr>
          <w:b/>
        </w:rPr>
        <w:t xml:space="preserve">Quelle: </w:t>
      </w:r>
      <w:r>
        <w:t>https://mcp.opencaselaw.ch/entscheid/vd_omni_AC.2014.0211</w:t>
      </w:r>
    </w:p>
    <w:p>
      <w:r>
        <w:t>FR: VD_OMNI AC.2014.0211 du 30 juillet 2015</w:t>
      </w:r>
    </w:p>
    <w:p>
      <w:r>
        <w:t>IT: VD_OMNI AC.2014.0211 del 30 luglio 2015</w:t>
      </w:r>
    </w:p>
    <w:p>
      <w:pPr>
        <w:pStyle w:val="Heading2"/>
      </w:pPr>
      <w:r>
        <w:t>Regeste</w:t>
      </w:r>
    </w:p>
    <w:p>
      <w:r>
        <w:t>TRETOLA/Municipalité de Villars-Ste-Croix | Le recourant souhaite construire des murs de 2 m de haut côté nord, est et ouest de sa propriété. Ce type de construction est autorisée pour autant qu'elle n'entraîne pas d'inconvénients appréciables. Le plan mis à l'enquête publique, relatf au mur sur la limite nord, comporte une imprécision concernant l'indication du terrain naturel. La hauteur de 1.60 m est en fait respectée par rapport au niveau du terrain naturel sur la limite séparant la parcelle du recourant de celle de son voisin; le dépassement de 40 cm résulte du choix constructif du propriétaire de la parcelle voisine quant à l'aménagement de sa place de stationnement pour en tirer un avantage. Le tribunal a considéré que l'on se trouvait dans une situation exceptionnelle permettant de dépasser, sur ce secteur limité du mur, la hauteur de 2 m. Projet conforme à la réglementation communale. Le recourant conteste les émoluments du permis de construire mis à sa charge. Le recourant a produit des plans incomplets avec de fausses indications du terrain naturel, ce qui a amené la municipalité à effectuer des vérifications détaillées (mise en oeuvre d'un bureau d'ingénieurs-géomètres). Le montant des émoluments mis à la charge du recourant est ainsi largement couvert par le principe de la couverture des frais, selon lequel l'ensemble des ressources provenant d'un émolument ne doit pas être supérieur à l'ensemble des dépenses de la collectivé pour l'activité administrative en cause.</w:t>
      </w:r>
    </w:p>
    <w:p>
      <w:pPr>
        <w:pStyle w:val="Heading2"/>
      </w:pPr>
      <w:r>
        <w:t>Erwägungen</w:t>
      </w:r>
    </w:p>
    <w:p>
      <w:r>
        <w:rPr>
          <w:b/>
        </w:rPr>
        <w:t>E. 1</w:t>
      </w:r>
    </w:p>
    <w:p>
      <w:r>
        <w:t>Déposé en temps utile, et selon les formes requises par  l’art. 79 de la loi du 28 octobre 2008 sur la procédure administrative (LPA-VD ; RSV 173.36), le recours est recevable; il y a donc lieu d’entrer en matière sur le fond.</w:t>
      </w:r>
    </w:p>
    <w:p>
      <w:r>
        <w:rPr>
          <w:b/>
        </w:rPr>
        <w:t>E. 2</w:t>
      </w:r>
    </w:p>
    <w:p>
      <w:r>
        <w:t>a) Les parties sont parvenues à un accord concernant la conception du mur de clôture lors de l’audience du 21 mai 2015. Le représentant de la municipalité a toutefois souhaité obtenir l’accord des propriétaires voisins (parcelles nos 276 et 435), mais ceux-ci ont posé des exigences supplémentaires concernant notamment la hauteur du mur le long de la limite nord, qui à leur avis, ne devrait pas dépasser la hauteur de 1.60 m. Ils ont toutefois renoncé à participer à la procédure, manifestant ainsi leur désintérêt quant à l’issue du recours, de sorte qu’il n’y pas lieu de tenir compte de leur demande concernant la hauteur du mur le long de la limite nord, ni des nombreuses autres exigences qu’ils ont formulées dans la lettre adressée le 19 juin 2015 à la municipalité, dont certaines relèvent clairement du droit privé et ne pourraient de toute manière pas être prises en considération dans le cadre du recours.  Les propriétaires des parcelles nos 276 et 435 avaient d’ailleurs déjà été interpelés en début de procédure par la municipalité, à la demande du tribunal, afin de porter à leur connaissance le recours formé par Domenico Tretola et les informer de la possibilité de participer à la procédure, ce qui impliquait aussi de participer aux frais et dépens de la procédure dans l’hypothèse où les conclusions qu’ils auraient prises dans le cadre de l’instruction du recours étaient en tout ou en partie rejetées ; ils n’avaient déjà pas donné suite à cette interpellation, ce qui confirme encore l’absence de tout intérêt de leur part en ce qui concerne le jugement à rendre sur le recours de Domenico Tretola. b) Comme la municipalité n’a pas délivré le permis de construire pour un projet conforme à la solution constructive intervenue lors de l’audience du 21 mai 2015 en raison de l’absence d’un accord des propriétaires voisins, il appartient au tribunal d’examiner la conformité de cette solution avec la réglementation communale. Seule la conception du mur sur la limite nord de la parcelle n°192, contigüe aux parcelles nos 276 et 435, est litigieuse. L’art. 14.17 du règlement communal sur le plan général d’affectation et la polie des constructions des 11 mai 2009 et 22 février 2010 (RPGA) réglemente la construction des murs et clôtures de la manière suivante : « Art. 14.17         Murs et clôtures Tous les murs et clôtures ainsi que les matériaux et les teintes utilisées pour leur construction doivent être préalablement soumis à l’approbation de la Municipalité. Les clôtures sont, si possible constituées de haies ou d’arbustes. Les clôtures pleines ne peuvent avoir plus de 2.00 m. de haut par rapport au terrain fini, sauf situation exceptionnelle, en particulier à titre de protection contre le bruit. » c) En l’espèce, le mur projeté le long de la limite nord reste dans le gabarit de 2.00 m. de hauteur par rapport au terrain fini donnant sur la parcelle n°192. Par rapport au niveau fini donnant sur la parcelle n°435, le mur atteint une hauteur de 2.00 m au maximum sur le point d’altitude 506.53, puis il descend en suivant la pente de la rampe sur la parcelle n°192, en rejoignant la hauteur de 1.60 m mesurée depuis le niveau fini de ce bien-fonds. Toutefois, sur la parcelle n°276, le mur atteint une hauteur de 2.40 m au niveau de l’aménagement de la place de stationnement en déblai, réalisée à l’angle sud ouest de la parcelle n°276. Cette sur-hauteur est due aux travaux de construction de la place de stationnement, dont le niveau se situe à un mètre environ en dessous du terrain naturel de la limite de parcelle à l’angle sud-ouest de la place de stationnement, à proximité de la limite avec la parcelle n°435. Mais, la restriction à 2.00 m de hauteur n’est pas absolue et la réglementation communale réserve les situations exceptionnelles. En l’espèce, la sur-hauteur de 40 cm du mur au droit de la place de stationnement de la parcelle n°276 résulte des options choisies pour aménager la place de stationnement en déblai le long de la limite de la parcelle n°192, propriété du recourant, alors que la hauteur du mur sur son terrain respecte les 1.60 m, comme cela a été convenu lors de l’audience. Dès lors que la hauteur de 1.60 m est respectée par rapport au niveau du terrain naturel sur la limite séparant les parcelles nos 192 et 276, et que le dépassement de 40 cm résulte du choix constructif des propriétaires de la parcelle n°276 quant à l’aménagement de leur place de stationnement pour en tirer un avantage, le tribunal considère que l’on se trouve dans la situation exceptionnelle réservée par l’art. 14.17 al. 2 RPGA, permettant de dépasser, sur ce secteur limité du mur, la hauteur de 2.00 m, ce d’autant plus que la place de stationnement n’exige pas des vues ou des dégagements spéciaux ou soignés, contrairement aux prolongements extérieurs des deux villas contigües construites sur ce bien-fonds, qui donnent sur les dégagements de la parcelle voisine n°193. Ainsi, le tribunal arrive à la conclusion que le projet de mur de clôture, tel que prévu par l’accord intervenu entre les parties à la procédure lors de l’audience du 21 mai 2015, est conforme à la réglementation communale. d) Il est vrai que les murs et clôtures sont assimilés aux dépendances au sens de l’art. 39 du règlement d’application du 19 septembre 1986 de la loi sur l’aménagement du territoire et les constructions (RLATC; RSV 700.11.1), qui prévoit que ces constructions ne sont autorisées que pour autant qu’elles n’entraînent aucun préjudice pour les voisins. Cette condition doit toutefois être interprétée en ce sens que l’ouvrage projeté ne doit pas entraîner d’inconvénients appréciables, c’est-à-dire insupportables sans sacrifices excessifs (arrêts AC.2010.0123 du 14 octobre 2010; AC.2009.0292 du 24 juin 2010; AC.2009.0116 du 15 février 2010; AC.2005.0276 du 23 novembre 2006; AC.2001.0255 du 21 mars 2002). A cet égard, la hauteur de 2.00 m d’un mur de clôture ne saurait en principe entraîner un inconvénient appréciable puisqu’elle correspond à la hauteur admissible des murs et clôtures en droit privé vaudois. L’art. 23 du code rural et foncier du canton de Vaud du 7 décembre 1987 (CRF; RSV 211.41) prévoit que tout propriétaire peut clore son fonds sous réserve des exceptions résultant de la loi ou de conventions et que la hauteur des murs de clôture ne peut dépasser 2.00 m sans l’accord du voisin (art. 32 al. 1 CRF). Ainsi un mur de clôture de 2.00 m de haut n’est pas censé provoquer des inconvénients appréciables. Il en va à plus forte raison du mur litigieux qui se trouve en dessous de la hauteur de 2.00 m sur la plus grande partie de sa longueur, à l’exception du petit tronçon situé sur la place de stationnement à l’angle sud-ouest de la parcelle n°276 et qui ne provoque aucune gêne particulière aux habitants des deux villas jumelles construites sur ce terrain.</w:t>
      </w:r>
    </w:p>
    <w:p>
      <w:r>
        <w:rPr>
          <w:b/>
        </w:rPr>
        <w:t>E. 3</w:t>
      </w:r>
    </w:p>
    <w:p>
      <w:r>
        <w:t>Le recourant conteste encore les émoluments du permis de construire mis à sa charge. Il apparaît toutefois que le recourant a produit des plans incomplets avec de fausses indications du terrain naturel, ce qui a amené la municipalité à effectuer des vérifications détaillées, en engageant des frais encore supérieurs aux montants des émoluments mis à sa charge, notamment par la mise en œuvre d’un bureau d’ingénieurs- géomètres. Le montant des émoluments mis à la charge du recourant est ainsi largement couvert par le principe de la couverture des frais, selon lequel l'ensemble des ressources provenant d'un émolument ne doit pas être supérieur à l'ensemble des dépenses de la collectivité pour l'activité administrative en cause ( ATF 106 Ia 249 consid. 3a p. 252).</w:t>
      </w:r>
    </w:p>
    <w:p>
      <w:r>
        <w:rPr>
          <w:b/>
        </w:rPr>
        <w:t>E. 4</w:t>
      </w:r>
    </w:p>
    <w:p>
      <w:r>
        <w:t>Il résulte des considérants qui précèdent que le recours doit être partiellement admis. La décision de la municipalité du 20 mai 2014 concernant le projet de construction d’un mur de clôture de la parcelle n°192 est réformée, en ce sens que la construction du mur de clôture est autorisée aux conditions fixées par l’accord intervenu devant le tribunal lors de l’audience du 21 mai 2015 et concrétisé par le plan mis à jour du 29 mai 2015; elle est maintenue pour le surplus, notamment en ce qui concerne le montant des émoluments mis à la charge du recourant. Le tribunal doit encore statuer sur le sort des frais et dépens. Compte tenu des circonstances particulières de la cause, le tribunal renonce à prélever des frais de justice et compense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