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AC.2014.0185 vom 17. November 2015</w:t>
      </w:r>
    </w:p>
    <w:p>
      <w:r>
        <w:t>VD Tribunal cantonal, 2015-11-17, FR</w:t>
      </w:r>
    </w:p>
    <w:p>
      <w:r>
        <w:rPr>
          <w:b/>
        </w:rPr>
        <w:t xml:space="preserve">Quelle: </w:t>
      </w:r>
      <w:r>
        <w:t>https://mcp.opencaselaw.ch/entscheid/vd_omni_AC.2014.0185</w:t>
      </w:r>
    </w:p>
    <w:p>
      <w:r>
        <w:t>FR: VD_OMNI AC.2014.0185 du 17 novembre 2015</w:t>
      </w:r>
    </w:p>
    <w:p>
      <w:r>
        <w:t>IT: VD_OMNI AC.2014.0185 del 17 novembre 2015</w:t>
      </w:r>
    </w:p>
    <w:p>
      <w:pPr>
        <w:pStyle w:val="Heading2"/>
      </w:pPr>
      <w:r>
        <w:t>Regeste</w:t>
      </w:r>
    </w:p>
    <w:p>
      <w:r>
        <w:t>KUDELSKI/Municipalité de Lutry, Direction générale de l'environnement | Recours du propriétaire contre le refus de la Municipalité de mettre une dizaine d'arbres sis sur sa parcelle au bénéfice de la protection du plan de classement communal. Rejet du grief selon lequel seul le Conseil communal, à l'exclusion de la Municipalité, serait compétent pour se prononcer sur le classement. Le plan de classement recense les arbres ou groupes d'arbres protégés sur la base de six critères (historique, culturel, paysager, biologique, dendrologique et social); le règlement ad hoc ne prévoit pas de protection générale - valant aussi pour les arbres non recensés - sur la base d'un critère tel que le diamètre ou la circonférence. Constat que cette réglementation n'est pas contraire à la LPNMS, même si une protection générale fondée sur un tel critère serait peut-être plus judicieuse. Pour le reste, en refusant la mise sous protection, la Municipalité n'a pas fait un mauvais usage de la liberté d'appréciation étendue dont elle dispose dans l'application de sa réglementation. Rejet du recours.</w:t>
      </w:r>
    </w:p>
    <w:p>
      <w:pPr>
        <w:pStyle w:val="Heading2"/>
      </w:pPr>
      <w:r>
        <w:t>Erwägungen</w:t>
      </w:r>
    </w:p>
    <w:p>
      <w:r>
        <w:rPr>
          <w:b/>
        </w:rPr>
        <w:t>E. 1</w:t>
      </w:r>
    </w:p>
    <w:p>
      <w:r>
        <w:t>Dès l'adoption de la présente loi, les communes disposent d'un délai de trois ans pour désigner par voie de plan de classement ou de règlement les arbres, cordons boisés, boqueteaux et haies vives qui doivent être protégés. Plan ou règlement seront soumis à l'approbation du chef de département concerné. A défaut de mise sur pied d'un tel plan ou règlement dans les délais, le département concerné déterminera lui-même les objets qui doivent être maintenus.</w:t>
      </w:r>
    </w:p>
    <w:p>
      <w:r>
        <w:rPr>
          <w:b/>
        </w:rPr>
        <w:t>E. 2</w:t>
      </w:r>
    </w:p>
    <w:p>
      <w:r>
        <w:t>Un règlement détaillé peut remplacer ces documents.</w:t>
      </w:r>
    </w:p>
    <w:p>
      <w:r>
        <w:rPr>
          <w:b/>
        </w:rPr>
        <w:t>E. 3</w:t>
      </w:r>
    </w:p>
    <w:p>
      <w:r>
        <w:t>Le règlement d'application fixe au surplus les conditions dans lesquelles les communes pourront donner l'autorisation d'abattage." L'art. 15 RLPNMS apporte les précisions suivantes: "Abattage (loi, art. 6, al. 3) 1 L 'abattage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Sous le titre "Autorisation d'abattage", l'art.</w:t>
      </w:r>
    </w:p>
    <w:p>
      <w:r>
        <w:rPr>
          <w:b/>
        </w:rPr>
        <w:t>E. 5</w:t>
      </w:r>
    </w:p>
    <w:p>
      <w:r>
        <w:t>Il ressort de ce qui précède que le recours doit être rejeté et la décision attaquée confirmée. Le recourant, qui succombe, supportera les frais de justice (cf. art. 49 al. 1 LPA-VD), ainsi qu'une indemnité de dépens en faveur de la Municipalité, qui a procédé par l'intermédiaire d'un mandataire professionnel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