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AC.2014.0166 vom 17. März 2015</w:t>
      </w:r>
    </w:p>
    <w:p>
      <w:r>
        <w:t>VD Tribunal cantonal, 2015-03-17, FR</w:t>
      </w:r>
    </w:p>
    <w:p>
      <w:r>
        <w:rPr>
          <w:b/>
        </w:rPr>
        <w:t xml:space="preserve">Quelle: </w:t>
      </w:r>
      <w:r>
        <w:t>https://mcp.opencaselaw.ch/entscheid/vd_omni_AC.2014.0166</w:t>
      </w:r>
    </w:p>
    <w:p>
      <w:r>
        <w:t>FR: VD_OMNI AC.2014.0166 du 17 mars 2015</w:t>
      </w:r>
    </w:p>
    <w:p>
      <w:r>
        <w:t>IT: VD_OMNI AC.2014.0166 del 17 marzo 2015</w:t>
      </w:r>
    </w:p>
    <w:p>
      <w:pPr>
        <w:pStyle w:val="Heading2"/>
      </w:pPr>
      <w:r>
        <w:t>Regeste</w:t>
      </w:r>
    </w:p>
    <w:p>
      <w:r>
        <w:t>FOSTER/Municipalité de Gilly, SOLUFONDS SA, SACHOT, Service Immeubles, Patrimoine et Logistique | Permis délivré pour la construction de deux bâtiments de 6 logements et d'un bâtiment divisé en 3 unités de 3 logements (bâtiment B) sur une parcelle située dans la partie nord-est du village de Gilly. Recours déposé par la propriétaire du château de Vincy, situé en amont à environ 300 m du projet dont il est séparé par un secteur viticole. Examen du projet au regard des règles sur l'esthétique et l'intégration. Le fait que, dans une certaine mesure, le projet va à l'encontre des objectifs de la fiche ISOS relative au village de Gilly ne remet pas en cause la délivrance du permis de construire. Constat que la municipalité n'a pas abusé de son pouvoir d'appréciation en matière d'esthétique et d'intégration (consid. 2a, 2b et 2c). La recourante invoque à tort l'art. 77 LATC dès lors que les études relatives à la révision du PGA n'ont pas encore commencé et qu'on ne se trouve pas en présence de modifications des circonstances de fait ou de droit susceptibles de mettre en cause la constructibilité de la parcelle (consid. 2e). Les trois unités formant le bâtiment B peuvent être considérées comme une seule construction. Pas de violation des dispositions du règlement communal sur l'ordre non contigu (consid. 3). Le garage prévu a été considéré à juste titre comme une construction souterraine, notamment au regard des exigences de l'art. 84 al. 2 LATC (consid. 4). Le calcul de la hauteur du bâtiment B est conforme à ce qu'exige la jurisprudence en présence d'un bâtiment composé de plusieurs unités possédant chacune une toiture propre (consid. 5).</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 ss). c) En l'espèce, le château de Vincy est éloigné de 300 m de la parcelle qui doit accueillir les constructions litigieuses. Il n’apparaît au surplus pas que le projet litigieux puisse être à l'origine d'immissions susceptibles de gêner la recourante. Ne sauraient notamment être considérées comme telles les immissions liées aux quelques mouvements supplémentaires de véhicules susceptibles de passer devant le château de Vincy. Il semble au surplus que les ouvertures du château ne sont pas tournées en direction de la parcelle n° 222 et que cette parcelle n’est également pas visible depuis les espaces extérieurs du château. Le tribunal n’est toutefois pas en mesure de se prononcer définitivement sur ce point dès lors que, lors de l’inspection locale, il n’a pas été en mesure d’accéder à la propriété de la recourante, qui était absente ce jour-là et n’avait pas remis de clefs à son mandataire. Vu ce qui précède, la qualité pour agir de la recourante apparaît a priori douteuse. La question souffre toutefois de demeurer indécise compte tenu du sort du recours au fond.</w:t>
      </w:r>
    </w:p>
    <w:p>
      <w:r>
        <w:rPr>
          <w:b/>
        </w:rPr>
        <w:t>E. 2</w:t>
      </w:r>
    </w:p>
    <w:p>
      <w:r>
        <w:t>La recourante invoque une violation des règles communales sur l'esthétique et l'intégration des constructions. Elle relève sur ce point que le projet se situe à proximité du château de Vincy dont les abords devraient être préservés. Elle soutient également que les vues depuis et sur le château ne devraient pas être atteintes et perturbées par des constructions banales, trop importantes, mal disposées et n'ayant pas fait l'objet d'études d'intégration suffisamment poussées. Elle fait valoir que le quantitatif l'emporte sur le qualitatif et invoque l'absence de réflexion en ce qui concerne la position des faîtes, la manière d'intégrer les nouvelles constructions par rapport aux constructions existantes et la manière d'assurer la transition entre les bâtiments voisins faisant partie du tissu villageois et les espaces non construits et le parc du château. Elle invoque l'absence de préavis de la commission consultative d'urbanisme ou de tout autre spécialiste neutre qui aurait été consulté pour donner un avis sur le projet. Elle critique la réponse de la municipalité au motif que celle-ci n'aurait pas fourni d'explications, notamment au sujet des réflexions urbanistiques et des études de variantes réalisées pour aboutir au projet mis en cause. Se fondant sur l'avis du SIPAL en relation avec le fait que le village de Gilly fait partie de l'inventaire fédéral des sites construits d'importance nationale à protéger en Suisse (ISOS), la recourante soutient encore que la municipalité aurait dû refuser le projet en application de l'art. 77 de la loi du 4 décembre 1985 sur l'aménagement du territoire et les constructions (LATC; RSV 700.11). La recourante met enfin en cause le préavis de la CCUA au motif que ses membres ne seraient pas suffisamment indépendants de la municipalité. Elle requiert par conséquent que la Commission cantonale consultative d'urbanisme et d'architecture soit saisie. a) aa)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relatif à une affaire sur la Commune de Lutry).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AC.2014.0208 précité consid. 4a;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AC.2014.0208 précité;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et AC.2011.0065 précités). bb) Le village de Gilly est inscrit en tant que site d’importance régionale à l’inventaire fédéral des sites construits d’importance nationale en Suisse (ISOS), établi sur la base de l’art. 5 de la loi fédérale du 1 er juillet 1966 sur la protection de la nature et du paysage (LPN; RS 451), disposition qui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p.509).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(arrêts AC.2013.0175 du 10 décembre 2013 consid. 2f; AC.2010.241 du 16 novembre 2011 consid. 3c). Cette répartition des compétences découle directement de la disposition constitutionnelle relative à la protection de la nature et du patrimoine (art. 78 Cst. [Constitution fédérale du 18 avril 1999; RS 101] [cf. TF 1A.142/2004 du 10 décembre 2004, in RDAF 2006. 629]; AC.2010.0127 du 6 janvier 2011). b) En l'espèce, il s’avère que le projet va dans une certaine mesure à l'encontre des objectifs figurant dans la fiche ISOS en accentuant "l'encerclement" du village par des constructions récentes et en remplissant l'espace séparant le village de l'îlot de l'église. Cela étant, on relève que les constructions prévues se situent dans le prolongement direct du village et présentent l'intérêt de "fermer" le secteur construit du côté est. Comme le relève la CCUA, les ouvrages projetés façonnent ainsi spatialement la frange est du village. Contrairement à ce que soutient la recourante, une réflexion a été effectuée en ce qui concerne l'implantation et la disposition des constructions, cette réflexion ayant amené les constructeurs à prévoir plusieurs bâtiments groupés autour d'une cour avec des constructions et un espace commun qui s'ouvrent du côté du village. De manière générale, on peut relever que ces caractéristiques du projet permettent une bonne intégration dans le site. Au plan architectural, le projet, qui tient compte des remarques formulées par la CCUA, se caractérise en outre par une certaine sobriété et ne pose pas de problème particulier d'intégration par rapport au bâti environnant. Les dimensions des constructions ne prêtent également pas le flanc à la critique, la totalité des droits à bâtir n'étant pas utilisée. La recourante ne saurait également être suivie lorsqu'elle invoque l'impact négatif du projet sur le château de Vincy et ses alentours. Compte tenu de la distance (plusieurs centaines de mètres) et de la présence d'un secteur viticole non bâti entre le village et le château, un tel impact n'est pas démontré. Lors de la vision locale, le tribunal a ainsi pu constater que la vue sur le village depuis les environs du château ne sera pas modifiée de manière significative, les futurs bâtiment étant destinés pour l'essentiel à se confondre avec le reste du village. La vision locale a également permis de constater que le projet n'a pas d'impact négatif en ce qui concerne l'église sise à proximité. D'après les explications fournies lors de l'audience, l'intérêt de cette église, dont l'architecture ne présente pas de qualité particulière, résidait dans le fait qu'elle était construite sur un îlot séparé du village. Or, compte tenu des constructions réalisées, notamment en aval, ce n'est aujourd'hui plus le cas et le projet n'aura pas d'incidence à cet égard. c) Vu ce qui précède, la municipalité n'a pas abusé du pouvoir d'appréciation dont elle dispose en matière d'esthétique et d'intégration. Le projet ne pouvait au surplus être refusé en raison du fait que l'ISOS préconise que le secteur demeure inconstructible. La propriétaire de la parcelle n° 222 dispose en effet d'un droit d'ériger des constructions sur sa parcelle puisque celle-ci est colloquée en zone à bâtir par le plan des zones en vigueur, droit auquel la fiche ISOS ne saurait faire échec. d) aa) La recourante requiert que la Commission cantonale consultative d'urbanisme et d'architecture soit saisie. bb) La Commission cantonale consultative d'urbanisme et d'architecture est instituée par l'art. 16 LATC, qui dit qu'elle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cc) En l'espèce, le tribunal, composé notamment d’un architecte, est en mesure de se prononcer sur les griefs de la recourante concernant l'esthétique et l'intégration sur la base des plans du projet, des prises de position de la CCUA et du SIPAL et de la vision locale à laquelle il a procédé. Partant, il n'y a pas lieu de donner suite à la requête tendant à ce que la Commission cantonale consultative d'urbanisme et d'architecture soit mise en œuvre. e) Il convient encore d'examiner si le permis de construire aurait dû être refusé sur la base de l'art. 77 LATC. aa)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l'art. 77 LATC s'apparente à une mesure provisionnelle qui doit empêcher que la réalisation d'un projet conforme à une réglementation devenue inadaptée ne compromette la révision de cette dernière (TF 1C_197/2009 du 28 août 2009 consid. 5.1). Comme d'autres restrictions à la garantie de la propriété, une telle mesure doit reposer sur l'intérêt public et respecter le principe de la proportionnalité. Pour répondre à l'intérêt public, l'application de l'art. 77 LATC suppose que l'intention de réviser la réglementation en vigueur ait fait l'objet d'un début de concrétisation et repose sur des motifs objectifs: il faut que l'autorité compétente ait procédé au moins à quelques études préliminaires mettant en évidence les problèmes d'affectation et les solutions envisageables pour les résoudre. Les circonstances de fait ou la situation juridique doivent en outre s'être sensiblement modifiées depuis l'adoption de la planification en vigueur pour qu'une adaptation de celle-ci paraisse nécessaire conformément à l'art. 21 al. 2 de la loi fédérale sur l'aménagement du territoire du 22 juin 1979 (LAT; RS 700). La révision doit de surcroît répondre à un réel besoin de planification (TF 1C_694/2013 du 31 janvier 2014 consid. 2.2). Selon la jurisprudence, lorsque l'art. 77 LATC est invoqué par un propriétaire voisin, il convient ainsi de déterminer si les conditions d'une révision du plan telles qu'elles sont prévues par l'art. 21 al. 2 LAT sont remplies (AC.2011.0111 du 27 février 2012 consid. 3b/aa; cf. également l'art. 63 LATC). L'art. 21 al. 2 LAT prévoit que lorsque les circonstances se sont sensiblement modifiées, les plans d'affectation font l'objet des adaptations nécessaires (sur la pesée des intérêts à faire pour apprécier l'évolution des circonstances et la nécessité d'adapter un plan d'affectation; cf. ATF 131 II 728 consid. 2.4; 128 I 190 consid. 4.2; 127 I 103; 121 II 317 consid. 12c p. 346; 120 Ia 227 consid. 2c). Dans le cadre de l'application de l'art. 77 LATC, l'on doit ainsi au premier chef se demander si l'affectation et la réglementation en vigueur présentent de sérieux inconvénients, lesquels feraient apparaître un besoin de modification. Compte tenu des concepts juridiques largement indéterminés utilisés par l'art. 77 LATC, la municipalité qui applique cette disposition dispose d'une grande latitude de jugement (cf. arrêt AC.2011.0111 précité consid. 3b/aa). La municipalité dispose donc d'un pouvoir d'appréciation qui lui permet notamment de délivrer le permis de construire alors même que le projet serait contraire à la réglementation future envisagée (AC.2011.0256 du 21 mai 2013 consid. 3c). De manière générale, il convient de rappeler que le contrôle incident ou préjudiciel d'un plan d'affectation dans la procédure relative à un acte d'application est en principe exclu. Un tel contrôle est néanmoins admis à titre exceptionnel, lorsque les circonstances ou les dispositions légales se sont modifiées, depuis l'adoption d'un plan, dans une mesure telle que l'intérêt public au maintien des restrictions imposées aux propriétaires concernés pourrait avoir disparu; cette précision jurisprudentielle correspond à l'obligation de réexamen des plans prévue notamment à l'art. 21 al. 2 LAT (ATF 121 II 317 consid. 12c; TF 1C_521/2013 du 13 février 2014 consid. 4). bb) En l'espèce, il résulte des explications fournies à l’audience que, si l’intention de modifier le plan général d’affectation n’est pas contestée, les études n’ont pas encore véritablement commencé, ceci en raison notamment des incertitudes relatives à la mise en œuvre des dernières modifications de la LAT. Quoi qu'il en soit, on ne saurait considérer que les circonstances de fait ou la situation juridique se sont sensiblement modifiées depuis l'adoption de la planification en vigueur, de telle manière que la constructibilité de la parcelle puisse être remise en question. Sur ce point, on peut relever que la collocation de la parcelle n° 222 en zone à bâtir ne résulte pas, prima facie, d’une erreur de planification flagrante dès lors qu’il s’agit d’une parcelle bâtie qui se situe dans le prolongement direct du village avec de nombreuses parcelles bâties à proximité. Dans ces circonstances, la municipalité n'a en tous les cas pas abusé de son pouvoir d'appréciation en renonçant à appliquer l'art. 77 LATC pour refuser le permis de construire.</w:t>
      </w:r>
    </w:p>
    <w:p>
      <w:r>
        <w:rPr>
          <w:b/>
        </w:rPr>
        <w:t>E. 3</w:t>
      </w:r>
    </w:p>
    <w:p>
      <w:r>
        <w:t>La recourante invoque une violation des art. 7 et 9 RC en relevant que les constructions prévues sont partiellement en ordre contigu et partiellement en ordre non contigu. a) L'art. 7 RC prévoit que, partout où les bâtiments ne sont pas construits en ordre contigu, l'ordre non contigu est obligatoire. L'art. 9 RC a la teneur suivante: "L'ordre non contigu est caractérisé par les distances à observer entre bâtiments et limite de propriété et par l'implantation des bâtiments à la limite des constructions s'il existe un plan qui la fixe, ou un retrait parallèlement à celle-ci. La distance entre les façades non implantées sur un alignement et la limite de la propriété voisine ou du domaine public, s'il n'y a pas de plan fixant la limite des constructions, est de 4 mètres au minimum. Elle est doublée entre bâtiments sis sur la même propriété." b) Le projet litigieux se situe dans un secteur de la zone village où les bâtiments ne sont pas construits en ordre contigu. L'ordre non contigu est par conséquent obligatoire. Celui-ci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cf. Jean-Luc Marti, Distances, coefficients et volumétrie des constructions en droit vaudois, thèse Lausanne 1988, p. 40).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(cf. arrêt AC.2013.0169 du 27 février 2014 consid. 3b; RDAF 1993, p. 195, spéc. 202 et 203).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Ils sont appliqués pour définir si l'on est en présence de deux bâtiments juxtaposés ou de deux bâtiments totalement séparés devant respecter les règles de l'ordre non contigu (cf. arrêts AC.2013.0169 du 27 février 2014 consid. 3b; AC.2012.0270 du 27 mai 2013 consid. 1a; AC.2012.0288 du 13 mars 2013 consid. 2a, et les références citées). c) La question de savoir comment doivent être interprétées les dispositions du règlement communal de Gilly sur l’ordre contigu et non-contigu a été examinée par le Tribunal cantonal dans un arrêt AC.2009.0053 du 30 septembre 2009. A cette occasion, le tribunal a constaté que, en l'absence d'une règle limitant la longueur des bâtiments ou le nombre de logements par bâtiment, ou encore d'une règle sur la configuration (verticale ou horizontale) des logements, on ne pouvait faire grief à la municipalité d'interpréter le règlement communal en ce sens qu'il permet la construction, sur une même parcelle, d'un bâtiment composé de plusieurs modules ayant par exemple des faîtes à des hauteurs différentes pour tenir compte en particulier de la configuration du terrain (arrêt précité consid. 3 d). Or, tel est le cas du bâtiment B mis en cause par la recourante. On relève au surplus que si les trois entités formant la construction litigieuse présentent des décrochements, il s’agit de décrochements en élévation et non pas en plan. A cela s’ajoute la présence d’éléments communs, soit des cages d’escalier communes pour les unités B1/B2 et B2/B3, un abri antiatomique unique et un garage commun pour les trois unités. Au plan visuel, on relève enfin que la construction donnera l’impression d’entités certes distinctes, mais formant un tout homogène. Dans ces circonstances, le fait d’avoir considéré que les art. 7 et 9 RC sont respectés s’agissant du bâtiment B ne prête pas le flanc à la critique.</w:t>
      </w:r>
    </w:p>
    <w:p>
      <w:r>
        <w:rPr>
          <w:b/>
        </w:rPr>
        <w:t>E. 4</w:t>
      </w:r>
    </w:p>
    <w:p>
      <w:r>
        <w:t>S'agissant du parking souterrain, la recourante fait valoir que la municipalité ne démontre pas que le projet respecte les exigences des art. 61 al. 2 RC et 84 LATC. a) L'art. 61 al. 2 RC prévoit que les constructions souterraines ou semi-enterrées ne sont pas prises en considération dans le calcul de la distance aux limites ou entre bâtiments, ni dans le calcul du coefficient d'occupation ou d'utilisation du sol, pour autant que les conditions prévues par l'art. 84, al. 2 de la LATC soient remplies. L'art. 84 LATC a la teneur suivante: "Art. 84   Constructions souterraines 1 Le règlement communal peut prévoir que les constructions souterraines ou semi-enterrées ne sont pas prises en considération: -   dans le calcul de la distance aux limites ou entre bâtiments; -   dans le cœfficient d'occupation ou d'utilisation du sol. 2 Cette réglementation n'est applicable que dans la mesure où le profil et la nature du sol ne sont pas sensiblement modifiés et s'il n'en résulte pas d'inconvénient pour le voisinage." La jurisprudence a précisé que la construction souterraine dont l’impact visuel est important modifie de manière sensible la configuration des lieux et ne peut bénéficier de la dérogation prévue par l’art. 84 al. 1 LATC (arrêts AC.2012.0324 du 31 octobre 2013 consid. 3c; AC.2011.0320 du 31 juillet 2012; AC.2009.0233 du 21 mai 2010; AC.2009.0254 du 12 mai 2010; AC.2009.0074 du 29 janvier 2010 et les arrêts cités). Est ainsi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(AC.2012.0324 du 31 octobre 2013 consid. 3c). b) En l'espèce, le garage souterrain suit la pente générale du terrain. Il s’agit par conséquent d’une construction bien intégrée, qui n’induit pas de mouvements de terrain importants et qui aura un impact visuel réduit. C’est dès lors à juste titre que la municipalité a considéré que les articles 61 al. 2 RC et 84 LATC sont respectés.</w:t>
      </w:r>
    </w:p>
    <w:p>
      <w:r>
        <w:rPr>
          <w:b/>
        </w:rPr>
        <w:t>E. 5</w:t>
      </w:r>
    </w:p>
    <w:p>
      <w:r>
        <w:t>Lors de l’audience, la recourante a encore fait valoir que, si l’on devait considérer le bâtiment B comme une construction unique, la hauteur maximale autorisée par le règlement communal ne serait pas respectée. a) L’art. 10 RC, relatif à la zone village, prévoit que la hauteur des façades ne dépassera pas 7 m à la corniche et que la hauteur maximum des bâtiments ne dépassera pas 10 m 50. L’art. 58 RC, qui figure dans les règles générales applicables à toutes les zones, prévoit que la hauteur à la corniche ou au faîte est mesurée à partir de la cote moyenne du sol naturel occupé par la construction et qu’elle est mesurée au milieu du bâtiment jusqu’à l’arrête supérieure de la corniche ou du faîte. b) aa) Interpellée sur ce point, la municipalité indique que le respect des hauteurs prescrites à l’art. 10 RC a été vérifié en prenant en compte séparément les trois unités formant le bâtiment B. La cote moyenne du terrain naturel a été calculée en prenant la moyenne des quatre coins de l’unité en question et la hauteur a ensuite été mesurée depuis le milieu de la partie de la construction prise en compte, comme le requiert l’art. 58 RC. Il n’est pas contesté que, calculées de cette manière, les hauteurs réglementaires sont respectées. bb) La méthode utilisée par la municipalité est conforme à ce que prévoit la jurisprudence lorsqu’on se trouve en présence d’un bâtiment composé de plusieurs unités possédant une toiture propre. Dans une affaire concernant la commune de Borex, où était en cause une disposition réglementaire comparable, le Tribunal administratif avait en effet considéré que, dans la mesure où chaque partie du bâtiment possédait une toiture propre, il apparaissait justifié de calculer la hauteur au faîte pour chacune d'elles en prenant la moyenne du terrain naturel selon leurs angles respectifs (cf. arrêt AC.2006.0020 du 2 juillet 2007 consid. 3a). Cette jurisprudence a notamment été confirmée dans un arrêt ultérieur concernant la commune de Gilly (arrêt 2009.0053 précité) et il n’existe pas de raison de la remettre en cause dans le cas d’espèce. cc) Vu ce qui précède, le grief formulé par la recourante en ce qui concerne la hauteur du bâtiment B doit également être écarté.</w:t>
      </w:r>
    </w:p>
    <w:p>
      <w:r>
        <w:rPr>
          <w:b/>
        </w:rPr>
        <w:t>E. 6</w:t>
      </w:r>
    </w:p>
    <w:p>
      <w:r>
        <w:t>Il résulte des considérants que le recours doit être rejeté, en tant qu’il est recevable, et la décision attaquée confirmée. Vu le sort du recours, un émolument est mis à la charge de la recourante. Celle-ci versera en outre des dépens à la Commune de Gilly et aux constructeurs,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