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AC.2014.0088 vom 27. Januar 2015</w:t>
      </w:r>
    </w:p>
    <w:p>
      <w:r>
        <w:t>VD Tribunal cantonal, 2015-01-27, FR</w:t>
      </w:r>
    </w:p>
    <w:p>
      <w:r>
        <w:rPr>
          <w:b/>
        </w:rPr>
        <w:t xml:space="preserve">Quelle: </w:t>
      </w:r>
      <w:r>
        <w:t>https://mcp.opencaselaw.ch/entscheid/vd_omni_AC.2014.0088</w:t>
      </w:r>
    </w:p>
    <w:p>
      <w:r>
        <w:t>FR: VD_OMNI AC.2014.0088 du 27 janvier 2015</w:t>
      </w:r>
    </w:p>
    <w:p>
      <w:r>
        <w:t>IT: VD_OMNI AC.2014.0088 del 27 gennaio 2015</w:t>
      </w:r>
    </w:p>
    <w:p>
      <w:pPr>
        <w:pStyle w:val="Heading2"/>
      </w:pPr>
      <w:r>
        <w:t>Regeste</w:t>
      </w:r>
    </w:p>
    <w:p>
      <w:r>
        <w:t>VIEGAS/Municipalité de Vallorbe, MOREIRA DE AZEVEDO | Recours de l'ancien propriétaire contre le refus d'autoriser un changement d'affectation demandé par la nouvelle propriétaire. Il est douteux que le recourant, ancien propriétaire, qui ne fait valoir qu'un intérêt indirect ou médiat à l'admission du recours, dispose de la qualité pour agir (consid. 1). Le changement d'affectation ne respecte pas la norme SIA 380/1 applicable par renvoi de l'art. 19 RLVLEne et doit ainsi être refusé (consid. 2). Recours rejeté dans la mesure où il est recevable.</w:t>
      </w:r>
    </w:p>
    <w:p>
      <w:pPr>
        <w:pStyle w:val="Heading2"/>
      </w:pPr>
      <w:r>
        <w:t>Erwägungen</w:t>
      </w:r>
    </w:p>
    <w:p>
      <w:r>
        <w:rPr>
          <w:b/>
        </w:rPr>
        <w:t>E. 1</w:t>
      </w:r>
    </w:p>
    <w:p>
      <w:r>
        <w:t>Il se pose en premier lieu la question de la qualité pour recourir du recourant, qui n'est plus propriétaire de la parcelle litigieuse depuis 2007.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En général, la jurisprudence dénie la qualité pour agir à l'administré qui ne fait valoir qu'un intérêt indirect ou médiat à l'admission du recours. En effet, il appartient au destinataire personnellement visé, et non au tiers qui n'est atteint qu'indirectement, de recourir contre une injonction. Les principes généraux s'appliquent: il convient de se demander si la décision attaquée porte atteinte à des intérêts propres (de droit ou de fait) du tiers recourant. Tel n'est pas le cas lorsque la décision adressée au destinataire découle d'une démarche qu'il a entreprise librement et à laquelle il peut renoncer en tout temps. Le recours d'un tiers, indépendamment d'un pourvoi du destinataire, n'aurait pas de sens (Laurent Pfeiffer, La qualité pour recourir en droit de l'aménagement du territoire et de l'environnement - Etude de droit fédéral et vaudois, thèse Lausanne, Genève Zurich Bâle 2013, pp. 131-132). b) En l'occurrence, le recourant n'est plus le propriétaire de la parcelle concernée depuis 2007. La demande de permis de construire qui a abouti à la décision attaquée a été déposée par la nouvelle propriétaire, qui n'a toutefois pas recouru contre cette décision. Le recourant prétend disposer d'un intérêt de fait à l'admission de son recours, dès lors qu'une procédure civile est en cours, l'opposant à la propriétaire actuelle qui fait valoir des défauts affectant la chose vendue; dite procédure est suspendue pour permettre la régularisation de l'immeuble. Vu la jurisprudence précitée, il est plus que douteux que le recourant, qui ne fait valoir qu'un intérêt indirect ou médiat à l'admission du recours, dispose de la qualité pour agir. Cette question souffre toutefois de demeurer indécise dès lors que le recours est de toute manière manifestement mal fondé.</w:t>
      </w:r>
    </w:p>
    <w:p>
      <w:r>
        <w:rPr>
          <w:b/>
        </w:rPr>
        <w:t>E. 2</w:t>
      </w:r>
    </w:p>
    <w:p>
      <w:r>
        <w:t>…</w:t>
      </w:r>
    </w:p>
    <w:p>
      <w:r>
        <w:rPr>
          <w:b/>
        </w:rPr>
        <w:t>E. 3</w:t>
      </w:r>
    </w:p>
    <w:p>
      <w:r>
        <w:t>Les exigences et le calcul des besoins de chauffage se basent sur les données climatiques: a. de Payerne pour les projets situés à une altitude inférieure ou égale à 800 mètres; b. de La Chaux-de-Fonds pour les projets situés à une altitude supérieure à 800 mètres dans l'Arc jurassien; c. d'Adelboden pour les projets situés à une altitude supérieure à 800 mètres dans les Préalpes.</w:t>
      </w:r>
    </w:p>
    <w:p>
      <w:r>
        <w:rPr>
          <w:b/>
        </w:rPr>
        <w:t>E. 4</w:t>
      </w:r>
    </w:p>
    <w:p>
      <w:r>
        <w:t>Le calcul des besoins de chaleur pour le chauffage s'effectue à l'aide d'un logiciel certifié.</w:t>
      </w:r>
    </w:p>
    <w:p>
      <w:r>
        <w:rPr>
          <w:b/>
        </w:rPr>
        <w:t>E. 5</w:t>
      </w:r>
    </w:p>
    <w:p>
      <w:r>
        <w:t>Lors de transformations ou de changement d'affectation: a. le calcul des besoins de chaleur pour le chauffage porte sur tous les locaux comprenant des éléments d'enveloppe touchés par les transformations ou le changement d'affectation. Les locaux qui ne sont pas concernés par les transformations ou le changement d'affectation peuvent aussi être pris en compte dans le calcul. Les besoins de chaleur pour le chauffage ne peuvent dépasser les valeurs limites requises lors d'une précédente autorisation de construire; b. les exigences ponctuelles requises portent sur tous les éléments d'enveloppe touchés par les transformations et le changement d'affectation." c) En l'occurrence, la décision attaquée refuse d'autoriser le changement d'affectation de locaux existants ayant été autorisés le 10 septembre 1998 en tant qu'atelier-dépôt, local de repassage et salle de jeux avec la précision que ces locaux ne pourraient en aucun cas devenir habitables. En vertu des dispositions légales citées ci-dessus, le changement d'affectation demandé - pour en faire des locaux habitables, soit une chambre et un dressing - est soumis aux exigences techniques en matière d'isolation thermique des constructions telles que définies par la norme SIA 380/1, édition 2009 (art. 19 al. 1 RLVLEne). La demande de permis de construire doit donc contenir un bilan thermique démontrant que ces exigences sont respectées. A cet effet, la constructrice a déposé un "Bilan thermique ponctuel" réalisé le 29 octobre 2013 par Thermibat, bureau d'ingénieur en génie thermique, et dont la conclusion indiquait ce qui suit: "En faisant le bilan thermique ponctuel pour cette villa pour la mise en conformité, on voit clairement que bon nombre de façades ne correspondent ni à la norme actuelle SIA 380/1 édition 2009 ni à l'ancienne norme. Mais nous pouvons quand même souligner que les baies vitrées qui ont été changées par les nouveaux propriétaires et qui ont été liées au début de cette affaire respectent la norme pour des locaux non chauffés contre l'extérieur. Il est toujours plus difficile dans la rénovation que dans du neuf de respecter les exigences car nous devons repartir d'un élément existant. Pour exemple, dans ce cas précis, pour le mur entre la terrasse et la chambre, afin qu'il soit aux normes actuelles, il faudrait lui inclure 12cm d'un bon isolant (laine de verre avec λ = 0.031W/m.K). Le plancher de la chambre est également un endroit où il serait difficile d'atteindre la norme ou alors les travaux seraient de grande ampleur". Il ressort sans ambiguïté de ce document que les exigences de la norme SIA 380/1, édition 2009, ne sont pas respectées et que le changement d'affectation requis viole donc les dispositions topiques du RLATC, de la LVLEne et du RLVLEne. Pour ce motif, il ne peut pas être autorisé et l'autorité intimée était ainsi fondée à refuser de délivrer l'autorisation sollicitée. Partant, ce grief doit être rejeté. Dès lors que le projet est contraire au droit pour ce motif déjà et que le recours doit par conséquent être rejeté, il n'est pas nécessaire d'examiner si les règles relatives à la hauteur des pièces habitables sont respectées. 3. Il résulte de ce qui précède que le recours doit être rejeté dans la mesure de sa recevabilité. Succombant, le recourant supporte les frais de justice. Non assistée, l'autorité intimée n'a pas droit à des dépens. Il en va de même de la propriétaire, qui s'en est remise à l'appréciation de la cour s'agissant du sort du recours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