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AC.2014.0076 vom 14. Oktober 2014</w:t>
      </w:r>
    </w:p>
    <w:p>
      <w:r>
        <w:t>VD Tribunal cantonal, 2014-10-14, FR</w:t>
      </w:r>
    </w:p>
    <w:p>
      <w:r>
        <w:rPr>
          <w:b/>
        </w:rPr>
        <w:t xml:space="preserve">Quelle: </w:t>
      </w:r>
      <w:r>
        <w:t>https://mcp.opencaselaw.ch/entscheid/vd_omni_AC.2014.0076</w:t>
      </w:r>
    </w:p>
    <w:p>
      <w:r>
        <w:t>FR: VD_OMNI AC.2014.0076 du 14 octobre 2014</w:t>
      </w:r>
    </w:p>
    <w:p>
      <w:r>
        <w:t>IT: VD_OMNI AC.2014.0076 del 14 ottobre 2014</w:t>
      </w:r>
    </w:p>
    <w:p>
      <w:pPr>
        <w:pStyle w:val="Heading2"/>
      </w:pPr>
      <w:r>
        <w:t>Regeste</w:t>
      </w:r>
    </w:p>
    <w:p>
      <w:r>
        <w:t>DE PINGON/Service du développement territorial, Municipalité de Montanaire | Demande de régularisation portant sur la reconstruction d'un bûcher endommagé à la suite d'une tempête, réalisé sans l'autorisation du SDT. La conclusion du recourant, tendant à ce qu'une partie de sa parcelle située en zone agricole soit classée dans la zone à bâtir ne fait pas l'objet de la décision attaquée et est partant irrecevable.</w:t>
      </w:r>
    </w:p>
    <w:p>
      <w:pPr>
        <w:pStyle w:val="Heading2"/>
      </w:pPr>
      <w:r>
        <w:t>Erwägungen</w:t>
      </w:r>
    </w:p>
    <w:p>
      <w:r>
        <w:rPr>
          <w:b/>
        </w:rPr>
        <w:t>E. 1</w:t>
      </w:r>
    </w:p>
    <w:p>
      <w:r>
        <w:t>Le recourant demande que la partie de sa parcelle située en zone agricole soit classée dans la zone à bâtir. Cette question n'ayant pas fait l'objet de la décision attaquée,  la conclusion y relative est irrecevable (cf. art. 79 al. 1 de la loi cantonale du 28 octobre 2008 sur la procédure administrative [LPA-VD; RSV 173.36], selon lequel le recourant ne peut pas prendre des conclusions qui sortent du cadre fixé par la décision attaquée). S'il entend faire modifier l'affectation de sa parcelle, le recourant doit engager une procédure ad hoc devant l'autorité intimée. Nonobstant l'irrecevabilité de la conclusion, on peut relever ce qui suit au sujet de l'affectation des biens-fonds. a) Les plans d'affectation au sens des art. 14 ss de la loi fédérale du 22 juin 1979 sur l'aménagement du territoire (LAT; RS 700) règlent l'utilisation du sol (art. 14 al. 1 LAT), déterminant pour chaque parcelle, le mode, le lieu et la mesure de l'utilisation admissible du sol (ATF 135 II 328 consid. 2.2; 123 II 91 consid. 1a/aa; Bernhard Waldmann/Peter Hänni, Raumplanungsgesetz – Bundesgesetz vom 22. Juni 1979 über die Raumplanung (RPG), Handkommentar , Berne, 2006, n° 3 ad art. 14 LAT; Pierre Moor, Commentaire de la loi fédérale sur l'aménagement du territoire, 2010, art. 14 LAT, n° 1 et les références citées; cf. également l'art. 43 de la loi cantonale sur l'aménagement du territoire et les constructions du 4 décembre 1985 - LATC; RSV 700.11); ils délimitent les zones à bâtir, les zones agricoles et les zones à protéger (art. 14 al. 2 LAT). Rien n'empêche en outre la municipalité de prévoir une affectation des parcelles qui ne suive pas le tracé des limites de propriété et de soumettre par exemple une parcelle à deux affectations différentes (cf. arrêt AC.2013.0153 du 20 décembre 2013, consid. 1b). Une fois le plan d'affectation régulièrement adopté par l'autorité compétente, seul celui-ci fait foi (arrêts AC.2010.0293 du 27 mai 2011 consid. 2a; AC.2008.0052 du 5 septembre 2008). La force obligatoire générale des plans d'affectation implique également que les autorités veillent à leur respect par les particuliers. Le contrôle de la conformité à l'affectation de la zone, dans le cadre d'une procédure d'autorisation de construire, obligatoire pour la création ou la transformation de toute construction ou installation, en est donc la conséquence nécessaire. Les plans d'affectation se caractérisent ainsi par leurs effets directs sur la situation juridique des propriétaires fonciers. En ce sens, ils constituent à la fois une concrétisation du contenu du droit de propriété et une limitation de la faculté d'usage liée à celui-ci (Thierry Tanquerel, Commentaire LAT, art. 21, n° 9 et 10). b) En vertu de l'art. 21 al. 2 LAT, les plans d'affectation feront l'objet des adaptations nécessaires lorsque les circonstances se sont sensiblement modifiées. L'art. 63 LATC reprend en substance la disposition précitée, prévoyant que les plans d'affectation sont réexaminés et adaptés lorsque les circonstances ont sensiblement changé.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 c) En l'occurrence, le plan d'affectation litigieux a été approuvé par le département cantonal compétent apparemment le 24 août 1998. Le recourant ne conteste pas qu'il est entré en force et qu'il produit dès lors un effet obligatoire. Il ne fait en outre pas valoir qu'il devrait être adapté, à la suite d'un changement de circonstances, le recourant se limitant en effet à relever que la planification en cause serait erronée. Or, il appartenait au recourant, ou au propriétaire précédent, de soulever ses arguments, ayant trait notamment à la garantie de la propriété, au moment de l'adoption du plan d'affectation.</w:t>
      </w:r>
    </w:p>
    <w:p>
      <w:r>
        <w:rPr>
          <w:b/>
        </w:rPr>
        <w:t>E. 2</w:t>
      </w:r>
    </w:p>
    <w:p>
      <w:r>
        <w:t>Le recourant conteste ensuite le refus du SDT de régulariser les travaux de reconstruction du bûcher, cette construction se situant dans la zone agricole. Pour tous les projets de construction situés hors de la zone à bâtir, il incombe, conformément à l'art. 25 al. 2 LAT, à une autorité cantonale de décider si ceux-ci sont conformes à l'affectation de la zone ou si une dérogation peut être accordée. Comme cela est du reste exposé dans la décision attaquée, la municipalité ne peut pas, sans autorisation spéciale de l'autorité cantonale, octroyer un permis de construire. L'autorité cantonale compétente est habilitée, lorsque l'autorisation ne peut pas être délivrée, à ordonner la remise en état ou à admettre le maintien de tout ou partie des installations litigieuses (arrêt AC.2012.0108 du 15 octobre 2013 consid. 1 et les références citées). Dans le canton de Vaud, cette compétence appartient formellement au département en charge de l’aménagement du territoire, soit jusqu’au 31 décembre 2012, le Département de l’intérieur auquel était rattaché le SDT (actuellement le Département du territoire et de l’environnement; cf. art. 10 et 120 al. 1 let. a LATC ); elle est déléguée au Service du développement territorial. Selon l'art. 22 al. 2 let. a LAT, aucune construction ou installation ne peut être créée ou transformée sans autorisation de l'autorité compétente. L'al. 2 dispose que l'autorisation est délivrée si la construction ou l'installation est conforme à l'affectation de la zone (lettre a) et si le terrain est équipé (lettre b). L'art. 103 al. 1 LATC prévoit pour sa part qu'aucun travail de construction ou de démolition en surface ou en sous-sol, modifiant de façon sensible la configuration, l'apparence ou l'affectation d'un terrain ou d'un bâtiment, ne peut être exécuté avant d'avoir été autorisé. Selon les art. 25 al. 2 LAT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Le recourant conclut également à l'octroi d'une pleine indemnité, dans la mesure où il estime être soumis à une restriction de la propriété qui équivaut à une expropriation. Il demande en outre au tribunal de condamner le SDT à lui verser une indemnité pour les inconvénients subis du fait de la procédure menée par cette autorité. Ces conclusions excèdent l'objet du litige, qui ne concerne ni la fixation d'une éventuelle indemnité d'expropriation, ni le dommage que l'Etat aurait par hypothèse causé au recourant, aucune décision n'ayant été rendue à ce sujet. Les conclusions y relatives sont dès lors irrecevables.</w:t>
      </w:r>
    </w:p>
    <w:p>
      <w:r>
        <w:rPr>
          <w:b/>
        </w:rPr>
        <w:t>E. 5</w:t>
      </w:r>
    </w:p>
    <w:p>
      <w:r>
        <w:t>Dans la mesure de sa recevabilité, le recours doit en conséquence être admis. La décision attaquée est réformée en ce sens que le bûcher litigieux est régularisé. Quant à la mention au registre foncier (ch. 2 du dispositif de la décision attaquée), elle n'a plus lieu d'être. Il n'est pas perçu de frais de justice. Le recourant, qui obtient gain de cause sans le concours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