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AC.2014.0069 vom 31. Dezember 2014</w:t>
      </w:r>
    </w:p>
    <w:p>
      <w:r>
        <w:t>VD Tribunal cantonal, 2014-12-31, FR</w:t>
      </w:r>
    </w:p>
    <w:p>
      <w:r>
        <w:rPr>
          <w:b/>
        </w:rPr>
        <w:t xml:space="preserve">Quelle: </w:t>
      </w:r>
      <w:r>
        <w:t>https://mcp.opencaselaw.ch/entscheid/vd_omni_AC.2014.0069</w:t>
      </w:r>
    </w:p>
    <w:p>
      <w:r>
        <w:t>FR: VD_OMNI AC.2014.0069 du 31 décembre 2014</w:t>
      </w:r>
    </w:p>
    <w:p>
      <w:r>
        <w:t>IT: VD_OMNI AC.2014.0069 del 31 dicembre 2014</w:t>
      </w:r>
    </w:p>
    <w:p>
      <w:pPr>
        <w:pStyle w:val="Heading2"/>
      </w:pPr>
      <w:r>
        <w:t>Regeste</w:t>
      </w:r>
    </w:p>
    <w:p>
      <w:r>
        <w:t>INDERMUEHLE-PERUSSET/Municipalité de Baulmes, Société coopérative de laiterie de Baulmes | Admission du recours formé contre la levée de l'opposition et l'octroi de l'autorisation d'aménager une cave à fromages en zone de constructions d'utilité publique. En l'espèce, bien que l'importance des intérêts que poursuit la constructrice, organisée sous la forme d'une société coopérative de laiterie, mérite d'être reconnue, il s'agit toutefois d'intérêts privés de ses membres. Par conséquent, et malgré la latitude de jugement reconnue à la municipalité dans l'interprétation de son règlement, la construction projetée n'apparaît pas conforme à l'affectation de la zone aux constructions d'utilité publique. Les travaux de construction, de même qu'un changement d'affectation, ne peuvent être autorisés que s'ils sont conformes à l'affectation de la zone également lorsqu'il est fait application de l'art. 80 al. 2 LATC. Cette disposition ne confère à cet égard aucun privilège aux constructions existantes.</w:t>
      </w:r>
    </w:p>
    <w:p>
      <w:pPr>
        <w:pStyle w:val="Heading2"/>
      </w:pPr>
      <w:r>
        <w:t>Erwägungen</w:t>
      </w:r>
    </w:p>
    <w:p>
      <w:r>
        <w:rPr>
          <w:b/>
        </w:rPr>
        <w:t>E. 1</w:t>
      </w:r>
    </w:p>
    <w:p>
      <w:r>
        <w:t>Le recours a été formé devant le tribunal compétent, dans le délai et le respect des formes prescrites (art. 79, 92, 95 et 99 de la loi vaudoise du 28 octobre 2008 sur la procédure administrative [LPA-VD; RSV 173.36]). La recourante est propriétaire des parcelles n° 298, 301 et 302 qui jouxtent celles sur lesquelles le projet litigieux est prévu et elle a participé à la procédure devant l'autorité intimée, de sorte que la qualité pour recourir doit lui être reconnue (art. 75 al. 1 let. a, 99 LPA-VD). Ce point n'est d'ailleurs pas contesté. Le recours est donc recevable et il y a lieu d'entrer en matière sur le fond.</w:t>
      </w:r>
    </w:p>
    <w:p>
      <w:r>
        <w:rPr>
          <w:b/>
        </w:rPr>
        <w:t>E. 2</w:t>
      </w:r>
    </w:p>
    <w:p>
      <w:r>
        <w:t>a) La recourante fait valoir que le projet d'aménager une cave pour le stockage de fromages sur la parcelle n° 305 n'est pas conforme à la zone de constructions d'utilité publique. La Municipalité estime pour sa part que la collocation de cette parcelle en zone de constructions d'utilité publique résulte uniquement de la spécificité de son propriétaire. Elle ajoute que l'agrandissement des caves à fromages profitera aux coopérateurs de la société de laiterie, soit aux exploitants agricoles de la Commune, spécifiquement à une douzaine de producteurs de lait. Selon l'autorité intimée, l'intérêt public au maintien d'exploitations laitières est indéniable et en autorisant l'octroi d'un droit de superficie, dont elle relève qu'il permet de conserver la maîtrise du sol et de financer un nouveau hangar communal adapté aux besoins, le Conseil communal a reconnu l'utilité publique du projet. La recourante conteste que l'octroi d'un droit de superficie confère un statut d'utilité publique au projet litigieux. Elle ajoute que la société coopérative de laiterie de Baulmes est une société de droit privé, non une coopérative de droit public régie par le droit public. b) L'autorisation de construire n'est délivrée que si la construction projetée est conforme à l'affectation de la zone (art. 22 al. 2 let. a de la loi fédérale du 22 juin 1979 sur l'aménagement du territoire [LAT; RS 700]). Les zones à bâtir sont affectées notamment à l'habitation, à l'industrie, à l'artisanat, au commerce, aux constructions et installations publiques ainsi qu'aux équipements publics et privés destinés à la culture, au sport, au tourisme et au délassement (art. 48 de la loi vaudoise du 4 décembre 1985 sur l'aménagement du territoire et les constructions [LATC; RSV 700.11]). L'art. 29 du règlement sur les constructions et l'aménagement du territoire de la Commune de Baulmes, qui régit la zone de constructions d'utilité publique, a la teneur suivante: " Cette zone est réservée aux constructions d'utilité publique existantes ou à créer. Les dispositions de la zone "Village" sont applicables. Pour les constructions particulières, nécessitant d'autres dispositions, il faut procéder par plan de quartier. " Les zones de constructions d'utilité publique comprennent les zones réservées aux bâtiments publics ainsi qu'aux équipements destinés à la culture, au sport, au tourisme et au délassement, dans la mesure où ces zones sont essentiellement réservées à la construction et font partie du milieu bâti (Brandt / Moor, Commentaire LAT, art. 18, n° 21). Seules les constructions et installations servant des buts d'intérêt public sont admises dans ce type de zone. En règle générale, il est indifférent que le maître de l'ouvrage soit une collectivité publique ou un particulier. Sont par exemple considérés comme conformes à la zone, les immeubles administratifs, les constructions scolaires et hospitalières, les cimetières, les installations des entreprises de transport et d'équipement, les musées, les installations de jeu et sportives, de même que les parcs et installations de détente (Ruch, Commentaire LAT, art. 22, n° 79; cf. aussi Brandt / Moor, op. cit., art. 18, n° 21). c) Peu importe que l'affectation de la parcelle n° 305 découle du fait que la Commune de Baulmes en est propriétaire et qu'elle s'avère ne plus répondre à ses besoins. En raison de la force obligatoire du plan d'affectation, cette affectation doit être respectée (cf. arrêt AC.2013.0153 du 20 décembre 2013 consid. 1a et les références). On ne saurait par ailleurs déduire l'existence d'un intérêt public de l'autorisation de constituer un droit de superficie en faveur de la constructrice, accordée par le Conseil communal à la Municipalité. Surtout, la constructrice est organisée sous la forme d'une personne morale de droit privé, dont le but est de sauvegarder les intérêts de ses membres (art. 828 CO), en particulier de défendre leurs intérêts en matière de prix et de prise en charge du lait et au sein des Interprofessions ainsi que de favoriser le développement des techniques laitières. Seuls les producteurs de lait sont admis à faire partie de la coopérative (cf. buts et statuts de la société coopérative selon le registre du commerce). La construction projetée ne sera par conséquent pas accessible à tout un chacun, ni ne sera destinée à la réalisation d'une tâche d'intérêt public, telle que définie ci-dessus. Si l'importance des intérêts que poursuit la constructrice mérite d'être reconnue, il n'en demeure pas moins qu'il s'agit d'intérêts privés de ses membres, qui représentent une douzaine d'exploitations agricoles selon l'autorité intimée. Aussi, malgré la latitude de jugement reconnue à la municipalité dans l'interprétation de son règlement, la construction d'une cave à fromages sur la parcelle n° 305 n'apparaît pas conforme à l'affectation de la zone aux constructions d'utilité publique (pour un cas comparable: cf. ATF 1C_310/2011 du 10 novembre 2011 résumé in RDAF 2013 I p. 452 n° 54).</w:t>
      </w:r>
    </w:p>
    <w:p>
      <w:r>
        <w:rPr>
          <w:b/>
        </w:rPr>
        <w:t>E. 3</w:t>
      </w:r>
    </w:p>
    <w:p>
      <w:r>
        <w:t>a) La Municipalité considère par ailleurs que si l'utilité publique du projet devait être niée, celui-ci pourrait être autorisé en application de l'art. 80 al. 2 LATC, qui permet l'agrandissement et la transformation de bâtiments non conformes à l'affectation de la zone. b) L'art. 80 al. 2 LATC, applicable aux bâtiments existants qui sont non conformes aux règles de la zone à bâtir entrées en force postérieurement à leur construction, est libellé de la manière suivante: "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Les travaux de construction, comme aussi un changement d'affectation, ne peuvent être autorisés que s'ils sont conformes à l'affectation de la zone. Ils sont prohibés dans le cas contraire, l'art. 80 al. 2 LATC ne pouvant pas être interprété comme conférant un privilège à cet égard aux constructions existantes (Bovay / Didisheim / Sulliger / Thonney, Droit fédéral et vaudois de la construction, 4 e édition, 2010, ad art. 80, n°6.4 et les références). c) D'une part, on ne peut pas considérer que le bâtiment ECA n° 436 érigé sur la parcelle n° 305, utilisé par la Commune pour l'exploitation forestière, est actuellement non conforme à la zone s'agissant de son affectation. La destination projetée des locaux, après transformation et agrandissement, le serait en revanche. D'autre part, pour être autorisée en application de l'art. 80 al. 2 LATC, la construction projetée, comme toute construction d'ailleurs, devrait être conforme à la zone, ce qui n'est pas le cas pour les motifs précités. Dès lors que le projet, non conforme à la zone, ne peut pas être autorisé pour cette raison, il n'est pas nécessaire d'examiner encore le grief relatif à la distance aux limites de propriété.</w:t>
      </w:r>
    </w:p>
    <w:p>
      <w:r>
        <w:rPr>
          <w:b/>
        </w:rPr>
        <w:t>E. 4</w:t>
      </w:r>
    </w:p>
    <w:p>
      <w:r>
        <w:t>Les considérants précités conduisent à l'admission du recours et à l'annulation de la décision levant l'opposition et délivrant le permis de construire rendue le 20 janvier 2014 par la Municipalité de Baulmes. Succombant, la constructrice supportera l'émolument de justice (art. 49 al. 1 LPA-VD), ainsi qu'une indemnité à titre de dépens en faveur de la recourante, qui a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