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AC.2014.0037 vom 28. September 2015</w:t>
      </w:r>
    </w:p>
    <w:p>
      <w:r>
        <w:t>VD Tribunal cantonal, 2015-09-28, FR</w:t>
      </w:r>
    </w:p>
    <w:p>
      <w:r>
        <w:rPr>
          <w:b/>
        </w:rPr>
        <w:t xml:space="preserve">Quelle: </w:t>
      </w:r>
      <w:r>
        <w:t>https://mcp.opencaselaw.ch/entscheid/vd_omni_AC.2014.0037</w:t>
      </w:r>
    </w:p>
    <w:p>
      <w:r>
        <w:t>FR: VD_OMNI AC.2014.0037 du 28 septembre 2015</w:t>
      </w:r>
    </w:p>
    <w:p>
      <w:r>
        <w:t>IT: VD_OMNI AC.2014.0037 del 28 settembre 2015</w:t>
      </w:r>
    </w:p>
    <w:p>
      <w:pPr>
        <w:pStyle w:val="Heading2"/>
      </w:pPr>
      <w:r>
        <w:t>Regeste</w:t>
      </w:r>
    </w:p>
    <w:p>
      <w:r>
        <w:t>HELVETIA NOSTRA/Municipalité d'Ormont-Dessus, HILTPOLD | Permis de construire un chalet (composé d'un appartement de cinq pièces) octroyé en novembre 2012 dans une commune où le taux de 20% de résidences secondaires est dépassé. Permis annulé par le Tribunal fédéral et cause renvoyée à la municipalité pour nouvelle décision. La constructrice a indiqué qu'elle entendait réaliser une résidence principale. Permis à nouveau octroyé par la municipalité en décembre 2013, comprenant l'obligation d'inscrire la mention "résidence principale". En l'état, pas d'indices sérieux permettant de confirmer l'utilisation du chalet projeté comme résidence principale, hormis la volonté de la constructrice de vendre le terrain à un acquéreur ayant l'intention de s'installer aux Diablerets et d'en faire son domicile principal. Le projet litigieux prévoit la création de deux places de stationnement non couvertes, aucun garage n'étant inclus dans le bâtiment; ce qui représente un inconvénient pour un objet immobilier destiné à de la résidence principale dans une région alpine. Recours admis et décision de la municipalité annulée. Recours au TF admis par l'arrêt 1C_546/2015 du 23 juin 2016.</w:t>
      </w:r>
    </w:p>
    <w:p>
      <w:pPr>
        <w:pStyle w:val="Heading2"/>
      </w:pPr>
      <w:r>
        <w:t>Erwägungen</w:t>
      </w:r>
    </w:p>
    <w:p>
      <w:r>
        <w:rPr>
          <w:b/>
        </w:rPr>
        <w:t>E. 1</w:t>
      </w:r>
    </w:p>
    <w:p>
      <w:r>
        <w:t>Le recours, est déposé dans les formes et délai prescrits par la loi vaudoise du 28 octobre 2008 sur la procédure administrative (LPA-VD ; RSV 173.36), de sorte qu’il y a lieu d’entrer en matière sur le fond.</w:t>
      </w:r>
    </w:p>
    <w:p>
      <w:r>
        <w:rPr>
          <w:b/>
        </w:rPr>
        <w:t>E. 2</w:t>
      </w:r>
    </w:p>
    <w:p>
      <w:r>
        <w:t>La loi oblige les communes à publier chaque année leur plan de quotas de résidences principales et l'état détaillé de son exécution. Directement applicable ( ATF 139 II 243 consid. 10.6 p. 257), cette disposition  ne vise pas seulement les constructions qui, selon les déclarations des intéressés, seront utilisées comme résidences secondaires, mais également celles qui pourraient être utilisées comme résidences secondaires (arrêts 1C_289/2013 du 28 octobre 2013 consid. 2.3; 1C_916/2013 du 19 février 2015 consid. 3.2). Les art. 4 et 6 de l’ordonnance sur les résidences secondaires du 22 août 2012 (ORS; RSV 702) ont la teneure suivante: Art. 4                  Constructions de nouvelles résidences Dans les communes qui comptent une proportion de résidences secondaires supérieure à 20%, des autorisations ne peuvent être accordées que pour la construction de résidences: a.  qui seront utilisées comme résidence principale; ou b.  qui ne seront pas personnalisées et qui seront mises à la disposition d'hôtes toute l'année, aux conditions usuelles du marché et uniquement pour des séjours de courte durée, à condition: 1.  qu'elles soient mises sur le marché dans le cadre d'une structure d'hébergement organisée, ou 2.  que le propriétaire habite dans le même bâtiment. Art. 6                  Mention au registre foncier et notification Dans l'autorisation de construire une nouvelle résidence, l'autorité compétente fixe l'obligation de l'utiliser conformément à l'art. 4, let. a ou b. Dans ladite autorisation, elle ordonne à l'office du registre foncier d'inscrire la mention "résidence principale" ou "résidence affectée à l'hébergement touristique qualifié" sur le feuillet de l'immeuble. Elle notifie à l'Office fédéral du développement territorial les autorisations de construire une nouvelle résidence délivrées en vertu des art. 4, let. b ou 8, al. 1. b) Le Tribunal fédéral a encore précisé dans sa jurisprudence que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(arrêt 1C_874/2013 du 4 avril 2014 consid. 4.5). Le respect de la condition d'utilisation du logement selon l'affectation annoncée doit être vérifié à l'issue des travaux par les autorités compétentes en matière de police des constructions (arrêt 1C_240/2014 du 24 octobre 2014 consid. 2.5). c) En l’espèce, lors de l’audience, la recourante a déclaré qu’elle souhaite vendre le terrain avec le permis de construire à quelqu’un qui déposera ses papiers aux Diablerets. Elle ne va pas occuper le chalet car elle habite juste un peu plus haut. La recourante a encore précisé avoir eu des contacts avec des habitants des Diablerets, qui se sont déclarés être intéressés à acquérir cet objet immobilier, mais qu’aucune promesse de vente n’a été signée pour le moment. Selon le conseil de la municipalité, soit la recourante trouve un acquéreur disposé à déposer ses papiers dans la Commune d’Ormont-Dessous et la condition fixée par le permis de construire est remplie, soit aucun acquéreur disposé à établir sa résidence principale dans le chalet projeté n’est trouvé et le permis se périmera. Il n’y aurait donc aucun abus de droit sur cette manière de procéder. Le tribunal constate toutefois qu’il n’existe actuellement aucune personne intéressée à l’achat du projet de la recourante et de son terrain ; cette dernière n’a pas prévu non plus de mettre le chalet sur le marché dans le cadre d'une structure d'hébergement organisée. L’hypothèse d’un éventuel achat du terrain avec le permis de construire par un futur résident aux Diablerets est à ce stade de la procédure aléatoire. La demande de permis de construire semble, à première vue, destinée uniquement à valoriser la vente du bien fonds. Il n’existe en l’état aucun indice sérieux de l’utilisation du chalet comme résidence principale à part la volonté de la recourante de vendre le terrain à un acquéreur disposé à utiliser le projet contesté comme domicile principal, ce qui est insuffisant. La situation serait bien sûr différente en présence d’une promesse de vente en faveur d’un acquéreur qui a l’intention sérieuse, et objectivement reconnaissable, de s’installer aux Diablerets et d’en faire son domicile principal. Mais tel n’est pas le cas. Par ailleurs, le projet litigieux ne prévoit que la création de deux places de stationnement non couvertes, aucun garage n’étant par ailleurs inclus dans le bâtiment, ce qui présente un inconvénient indéniable lorsque l’on souhaite se porter acquéreur d’un objet immobilier pour de la résidence principale dans une région alpine.</w:t>
      </w:r>
    </w:p>
    <w:p>
      <w:r>
        <w:rPr>
          <w:b/>
        </w:rPr>
        <w:t>E. 3</w:t>
      </w:r>
    </w:p>
    <w:p>
      <w:r>
        <w:t>Il résulte des considérants qui précèdent que le recours doit donc être admis en l’absence d’indices sérieux permettant de confirmer l’utilisation du chalet projeté comme résidence principale, et la décision communale annulée. Le tribunal doit encore statuer sur le sort des frais et dépens (art. 91 et 99 LPA-VD). L’association recourante, qui obtient gain de cause, a droit aux dépens qu’elle a requis. Par ailleurs, la jurisprudence du tribunal, selon laquelle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de supporter les frais et dépens (RDAF 1994 p. 324). En application de ce principe, les frais de justice doivent être mis à la charge de la propriétaire constructrice ainsi que les dépens en faveur de l’association recourante, qui obtient gain de cause et qui a consulté un homme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