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AC.2014.0031 vom 31. August 2016</w:t>
      </w:r>
    </w:p>
    <w:p>
      <w:r>
        <w:t>VD Tribunal cantonal, 2016-08-31, FR</w:t>
      </w:r>
    </w:p>
    <w:p>
      <w:r>
        <w:rPr>
          <w:b/>
        </w:rPr>
        <w:t xml:space="preserve">Quelle: </w:t>
      </w:r>
      <w:r>
        <w:t>https://mcp.opencaselaw.ch/entscheid/vd_omni_AC.2014.0031</w:t>
      </w:r>
    </w:p>
    <w:p>
      <w:r>
        <w:t>FR: VD_OMNI AC.2014.0031 du 31 août 2016</w:t>
      </w:r>
    </w:p>
    <w:p>
      <w:r>
        <w:t>IT: VD_OMNI AC.2014.0031 del 31 agosto 2016</w:t>
      </w:r>
    </w:p>
    <w:p>
      <w:pPr>
        <w:pStyle w:val="Heading2"/>
      </w:pPr>
      <w:r>
        <w:t>Regeste</w:t>
      </w:r>
    </w:p>
    <w:p>
      <w:r>
        <w:t>HELVETIA NOSTRA/Municipalité de Leysin, DELADOEY | L'entrée en vigueur du plan directeur cantonal et de la modification de la LAT du 15 juin 2012 ne constitue pas à elle seule, pour les communes dont la zone à bâtir est surdimensionnée, une modification sensible des circonstances au sens des art. 21 al. 2 LAT et 63 LATC (adaptation des plans d'affectation).</w:t>
      </w:r>
    </w:p>
    <w:p>
      <w:pPr>
        <w:pStyle w:val="Heading2"/>
      </w:pPr>
      <w:r>
        <w:t>Erwägungen</w:t>
      </w:r>
    </w:p>
    <w:p>
      <w:r>
        <w:rPr>
          <w:b/>
        </w:rPr>
        <w:t>E. 1</w:t>
      </w:r>
    </w:p>
    <w:p>
      <w:r>
        <w:t>a) Directement applicable (ATF 139 II 243 consid. 10.6 p. 257), l'art. 75b Cst. limite les résidences secondaires au maximum de 20 % du parc des logements et de la surface brute au sol habitable de chaque commune (ATF 139 II 243 consid. 10.5 p. 257; arrêt 1C_916/2013 du 19 février 2015 consid. 3.2). Dans cette mesure, la disposition constitutionnelle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 b) Dans son ancienne teneur, l'art. 4 let. a de l'ordonnance sur les résidences secondaires (ORSec, RS 702.1) prévoyait que, dans les communes qui comptent une proportion de résidences secondaires supérieure à 20 %, des autorisations de construire ne peuvent être accordées que pour la construction de résidences qui seront utilisées comme résidence principale. L'art. 7 al. 1 let. a de la loi fédérale sur les résidences secondaires (LRS, RS 702, entrée en vigueur le 1 er janvier 2016) comporte une réglementation semblable. La nouvelle ORSec,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 c)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w:t>
      </w:r>
    </w:p>
    <w:p>
      <w:r>
        <w:rPr>
          <w:b/>
        </w:rPr>
        <w:t>E. 2</w:t>
      </w:r>
    </w:p>
    <w:p>
      <w:r>
        <w:t>mai 2016; arrêts 1C_542/2014 du 14 août 2015, 1C_348/2014 du 20 février 2015, 1C_916/2013 du 19 février 2015 et 1C_240/2014 du 24 octobre 2014).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w:t>
      </w:r>
    </w:p>
    <w:p>
      <w:r>
        <w:rPr>
          <w:b/>
        </w:rPr>
        <w:t>E. 3</w:t>
      </w:r>
    </w:p>
    <w:p>
      <w:r>
        <w:t>a) 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déjà d'y recourir au moment de la demande d'autorisation de construire, en dépit des conditions restrictives posées par la loi. Cela impose que, dans les cas douteux impliquant un grand nombre de logements, la possibilité réelle d'utiliser les logements selon l'affectation prévue fasse l'objet de vérifications sérieuses. La procédure d'autorisation de construire et la police des constructions ont pour but la mise en oeuvre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LATC). Avant d'accorder le permis de construire, elle vérifie la conformité de tout projet avec les règles légales et les plans et les règlements d'affectation (art. 17 al. 3 LATC). Selon l'art. 104 al. 1 LATC, avant de délivrer le permis, elle s'assure que le projet est conforme aux dispositions légales et réglementaires et aux plans d'affectation légalisés ou en voie d'élaboration. b) Il n'y a pas lieu d'assouplir la répartition du fardeau de la preuve dans ce domaine en exigeant du constructeur qu'il prouve d'emblée le respect de l'affectation prévue. En effet, selon les art. 2 al. 2 et 3 al. 1 CC, seul l'abus manifeste d'un droit doit être sanctionné, la bonne foi étant quant à elle présumée. Toutefois, il appartient à l'autorité chargée de la délivrance des permis de construire de s'assurer que les conditions posées pourront être respectées (arrêt 1C_159/2015, consid. 4.3). Lorsque le constructeur d'un unique logement entend l'utiliser lui-même comme résidence principale, la preuve d'une demande correspondante dans la commune ou le secteur en cause n'a en principe pas à être apportée (arrêt 1C_159/2015 consid. 3.2). En revanche, lorsque le logement est destiné à la vente ou à la location, il y a lieu de vérifier préalablement qu'il existe a priori une demande correspondante dans la commune concernée. c) En l'espèce, le permis contesté concerne la construction d'un chalet comprenant quatre logements. Il est situé dans une zone de chalets déjà passablement construite destinée à l'habitation. Les quatre logements, se prêtent à une utilisation en tant que résidence principale, et il n'est pas contesté que l'accessibilité est garantie toute l'année, la parcelle se trouvant à proximité de la route des Esserts. Le projet comporte d’ailleurs six garages couverts caractéristiques des résidences principales. Selon les statistiques communales, la commune de Leysin comptait 3751 résidents à l’année en 2010 et 4019 en 2014. La population totale s’élève à 4380 habitants en 2014 en comptant les saisonniers et les requérants d’asile. La population résidente est donc en augmentation depuis 2010. Les statistiques cantonales mentionnaient 4050 habitants au 31 décembre 2014 et 4148 au 31 décembre 2015, soit une augmentation d’une centaine d’habitant en une seule année, prouvant l’existence d’une demande de résidence principale. Par ailleurs, les statistiques de logement à vendre n’est pas déterminante pour apprécier le besoin puisque selon les indications des représentants de la municipalité, les logements à vendre ne sont pas tous vacants. Même si le constructeur n'a pas encore trouvé d'acheteurs, il n'en découle pas que la demande serait manifestement insuffisante pour une résidence principale de quatre logerments dans la commune concernée. Dans le cadre d'un chalet de quatre logements et d'une commune où il existe une demande liée à l'augmentation du nombre d'habitants, il apparaîtrait disproportionné d'exiger systématiquement la production d'un contrat ou d'une promesse de vente avant même la construction de l'immeuble. Au demeurant, selon la jurisprudence, le constructeur supporte le risque de ne pouvoir utiliser le logement comme résidence principale (cf. arrêt 1C_114/2015 du 10 juillet 2015 consid. 4.2.2). En outre, le permis d'habiter ne pourra être accordé que si les futurs propriétaires déposeront ses papiers dans la commune. Dans ces conditions, un abus de droit manifeste ne saurait être retenu. Les mesures d’instructions requises par l’association recourante n’apparaissent donc pas nécessaires.</w:t>
      </w:r>
    </w:p>
    <w:p>
      <w:r>
        <w:rPr>
          <w:b/>
        </w:rPr>
        <w:t>E. 4</w:t>
      </w:r>
    </w:p>
    <w:p>
      <w:r>
        <w:t>L'association recourante estime qu'il conviendrait de procéder au contrôle préjudiciel du plan d'affectation. Elle relève que les parcelles en cause seraient actuellement utilisées comme pâturage et que l'adoption du nouvel art. 15 de la loi fédérale sur l'aménagement du territoire du 22 juin 1979 (LAT; RS 700) constituerait une circonstance nouvelle justifiant un contrôle préjudiciel. a) La novelle du 15 juin 2012 révisant la LAT, entrée en vigueur le 1er mai 2014 (RO 2014 p. 899 ss) a en particulier modifié l’art. 15 LAT. Celui-ci prévoit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manière d'assurer la conformité des zones à bâtir aux conditions de l'art. 15 (al. 1 let. d). b) Avec ces modifications,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(ATF 141 II 393 consid. 2; arrêt 1C_113/2014 du 3 septembre 2014 consid. 3.1; Message du Conseil fédéral du 20 janvier 2010 relatif à une révision partielle de la loi sur l'aménagement du territoire, FF 2010 959, ch. 1.1 p. 963).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 Tribunal fédéral a par ailleurs retenu que les nouvelles règles de la LAT relatives au redimensionnement des zones à bâtir, qui codifient pour l'essentiel la jurisprudence et la pratique, sont surtout l'occasion, pour le législateur, de mettre en évidence d'importants décalages entre les exigences légales prévalant déjà sous l'ancien droit et les dimensions effectives des zones à bâtir (ATF 1C_568/2014 - 1C_576/2014 du 13 janvier 2016 consid. 7.2; Message, FF 2010 959, ch. 1.1 p. 963, ch. 2.3.4 p. 980, ch. 2.6 p. 987 et ch. 3.2 p. 988). c) Enfin, la novelle du 15 juin 2012 a prévu une disposition transitoire à l'art. 38a LAT. Celle-ci impose aux cantons d'adapter leurs plans directeurs à l'art. 8a al. 1 LAT précité dans les cinq ans (à savoir jusqu'au 1er mai 2019) (al. 1) et ajoute que jusqu'à l'approbation de cette adaptation du plan directeur par le Conseil fédéral, la surface totale des zones à bâtir légalisées ne doit pas augmenter dans le canton concerné (al. 2) (voir aussi les art. 5a al. 4 et 52a de l'ordonnance du Conseil fédéral du 2 avril 2014 entrée en vigueur le 1er mai suivant). Au niveau cantonal, le PDCn entré en vigueur le 1er août 2008 a, comme exposé ci-dessus, incité les communes dont les réserves en zone à bâtir dépassaient au moins deux fois les besoins pour les 15 années suivant l'entrée en vigueur du plan, à modifier leur PGA dans un délai échéant le 31 juillet 2018, dans le sens d'un déclassement de certaines catégories déterminées de terrains (PDCn 2008, mesures A11 et A12). Le PDCn 2008 a fait l'objet d'une première adaptation entrée en vigueur le 1er décembre 2011, puis d'une deuxième adaptation entrée en vigueur le 15 juin 2012 (une adaptation ponctuelle 2bis est encore entrée en vigueur le 15 juin 2013) portant la même recommandation. Ces adaptations ont ainsi confirmé, avant même la modification dont la LAT a fait l'objet dès le 1er mai 2014,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oeuvre de la Loi sur l'aménagement du territoire (LAT) révisée. Réponses aux principales questions concernant la période transitoire", ainsi qu'une "Marche à suivre" par les communes pour établir le bilan de leur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Leysin, sont surdimensionnées. d) En octobre 2015, le canton a édicté de nouvelle directives, intitulées "Redimensionnement de la zone à bâtir, Lignes directrices à l'intention des communes vaudoises".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1er janvier 2016, confirmant la recommandation de réduction précitée, adressée aux communes dont les réserves en zone à bâtir dépassent au moins deux fois les besoins pour les 15 années suivant l'entrée en vigueur du plan (mesures A11 et A12). Enfin, l'avant-projet de la 4ème adaptation du PDCn a été mis en consultation publique du 18 janvier au 26 février 2016. Selon la mesure A11 de cet avant-projet, les communes qui doivent redimensionner leurs zones à bâtir devront réviser leurs plans d'affectation et soumettre leur projet à l'approbation du canton au plus tard le 30 juin 2021. Le 18 janvier 2016, le canton a établi des fiches techniques d'aide à l'application du redimensionnement des zones à bâtir. Il en découle en particulier que les communes sont incitées, dans l'optique de la 4ème adaptation du PDCn, à dézoner en priorité les réserves excédentaires situées hors du territoire urbanisé, le reste du territoire communal devant faire l'objet d'une analyse fine du redimensionnement à réaliser à l'intérieur du territoire urbanisé (fiche 9). En l'espèce, il convient de préciser encore que l'art. 15 al. 2 LAT (2014) exigeant que les zones à bâtir surdimensionnées doivent être réduite, ne contient pas d'interdiction de construire immédiatement applicable pour les communes concernées, contrairement à l'art. 75 b Cst. associé à l'art. 197 ch. 9 al. 2 Cst. (ATF 140 II 25, consid. 4.3 a contrario). e) Il sied en outre de souligner que le Tribunal fédéral a confirmé (1C_461/2015 du 9 décembre 2015 consid. 4.2) que même si la dernière révision de la LAT a pour finalité de mettre un frein au mitage du territoire, notamment par la réduction des zones à bâtir surdimensionnées (art. 15 al. 2 LAT; cf. Message, p. 960), ce but doit en principe être atteint par l'adaptation des plans directeurs cantonaux aux prescriptions fédérales (Message, ch. 1.3.1 p. 966), dans le délai de cinq ans à compter de l'entrée en vigueur de la révision (soit le 1er mai 2019; art. 38a LAT).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oeuvre d'une planification conforme à la LAT. La CDAP a de même déjà eu l'occasion de constater que dans la période de cinq ans précédant la modification du plan directeur cantonal, la seule exigence qui est posée par les nouvelles dispositions de la LAT est que la surface totale des zones à bâtir n'augmente pas. En revanche, la modification de la LAT du 15 juin 2012 ne remet a priori pas en cause le droit des propriétaires d'obtenir un permis de construire pour un projet conforme à un plan d'affectation en vigueur (AC.2014.0314 du 4 septembre 2015 consid. 10d; voir aussi AC.2014.0389 du 15 décembre 2015 consid. 1b et AC.2014.0013 du 2 novembre 2015 consid. 3d). Au demeurant, il n'y a pas lieu d'admettre que l'entrée en vigueur du PDCn et de la nouvelle LAT constitue à elle seule, pour les communes dont la zone à bâtir est surdimensionnée,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w:t>
      </w:r>
    </w:p>
    <w:p>
      <w:r>
        <w:rPr>
          <w:b/>
        </w:rPr>
        <w:t>E. 5</w:t>
      </w:r>
    </w:p>
    <w:p>
      <w:r>
        <w:t>Il résulte des considérants qui précèdent que le recours doit être rejeté et la décision attaquée maintenue. Au vu de ce résultat, un émolument de justice de 2'500 francs est mis à la charge de l'association recourante. La commune, qui obtient gain de cause en ayant consulté un homme de loi, a droit aux dépens qu'elle a requis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