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AC.2014.0015 vom 30. Juni 2014</w:t>
      </w:r>
    </w:p>
    <w:p>
      <w:r>
        <w:t>VD Tribunal cantonal, 2014-06-30, FR</w:t>
      </w:r>
    </w:p>
    <w:p>
      <w:r>
        <w:rPr>
          <w:b/>
        </w:rPr>
        <w:t xml:space="preserve">Quelle: </w:t>
      </w:r>
      <w:r>
        <w:t>https://mcp.opencaselaw.ch/entscheid/vd_omni_AC.2014.0015</w:t>
      </w:r>
    </w:p>
    <w:p>
      <w:r>
        <w:t>FR: VD_OMNI AC.2014.0015 du 30 juin 2014</w:t>
      </w:r>
    </w:p>
    <w:p>
      <w:r>
        <w:t>IT: VD_OMNI AC.2014.0015 del 30 giugno 2014</w:t>
      </w:r>
    </w:p>
    <w:p>
      <w:pPr>
        <w:pStyle w:val="Heading2"/>
      </w:pPr>
      <w:r>
        <w:t>Regeste</w:t>
      </w:r>
    </w:p>
    <w:p>
      <w:r>
        <w:t>HELVETIA NOSTRA, BASHORUN, GANTY-DESAULLES/Municipalité de Leysin, GHL IMMOBILIERE ET FINANCIERE SA | Permis de construire huit chalets de dix appartements chacun avec accès et cent soixante places de parc octroyé fin 2012 dans une commune où le taux de 20% de résidences secondaires est dépassé. Permis annulé par le Tribunal fédéral et cause renvoyée à la municipalité pour nouvelle décision. Constructeur qui indique qu'il entend désormais réaliser uniquement des résidences principales. Permis à nouveau octroyé par la municipalité fin 2013, comprenant l'obligation d'inscrire la mention "résidence principale" au Registre foncier. Lorsque, fin 2012, le projet avait été mis à l'enquête, l'avis de mise à l'enquête ne mentionnait pas si les appartements en question étaient destinés à des résidences principales ou/et à des résidences secondaires. Dès lors que l'on n'est à l'évidence pas en présence d'un changement fondamental d'affectation du point de vue de la planification, il convient de considérer qu'il n'y a en principe pas matière à nouvelle enquête publique selon l'art. 109 LATC lorsqu'un nouveau permis de construire est délivré contenant l'obligation d'utiliser le logement comme résidence principale. L'importance de l'impact sur l'environnement et de l'accroissement des nuisances du fait du changement d'utilisation des appartements (plus intensive sur toute l'année) justifient néanmoins ici une attention particulière quant au respect du droit d'être entenu de l'ensemble des tiers intéressés, soit notamment les propriétaires voisins et les associations à but idéal. Il se justifie ainsi exceptionnellement de procéder dans le cas présent à une nouvelle enquête publique, et non pas seulement complémentaire, portant sur l'ensemble du projet. Il conviendra aussi que les documents soumis à l'enquête publique contiennent la mention de l'affectation (résidence principale) de toutes les constructions projetées. Il convient donc de retourner le dossier à l'autorité intimée pour qu'elle soumette le projet en cause à une nouvelle enquête publique (consid. 2-3). Recours admis.</w:t>
      </w:r>
    </w:p>
    <w:p>
      <w:pPr>
        <w:pStyle w:val="Heading2"/>
      </w:pPr>
      <w:r>
        <w:t>Erwägungen</w:t>
      </w:r>
    </w:p>
    <w:p>
      <w:r>
        <w:rPr>
          <w:b/>
        </w:rPr>
        <w:t>E. 1</w:t>
      </w:r>
    </w:p>
    <w:p>
      <w:r>
        <w:t>Dans l'autorisation de construire une nouvelle résidence, l'autorité compétente fixe l'obligation de l'utiliser conformément à l'art. 4, let. a ou b.</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a) Les recourants font valoir qu’il conviendrait de procéder à une mise à l'enquête publique, à tout le moins complémentaire, dans la mesure où les constructions projetées constitueraient désormais des résidences principales. La constructrice relève néanmoins que le projet de construction demeurerait exactement le même. Elle précise avoir toujours eu l’intention de créer des résidences principales, même si elle avait auparavant admis qu’elle se laissait la liberté de dédier certains appartements à de la résidence secondaire. Le dossier déposé le 19 novembre 2012 à l’appui de la demande de construire huit chalets de dix appartements chacun avec accès et places de parc ne contient aucun élément permettant d’établir que la constructrice avait alors l’intention de réaliser uniquement des résidences principales. La construction d’un nombre important de bâtiments et d’appartements (80) dans une localité de montagne laisse au contraire penser que les constructions projetées étaient destinées à constituer avant tout des résidences secondaires. Lorsqu’elle a levé les oppositions le 31 décembre 2012, la municipalité ne s’y est d’ailleurs pas trompée puisqu’elle a répondu à l’argument de certains des opposants selon lequel le projet contreviendrait à l’art. 75b Cst. que le dispositif de limitation des résidences secondaires dans les territoires des communes qui en comportent déjà plus de 20% s’appliquait dès le 1 er janvier 2013. Ce n’est en outre qu’à partir du 10 juin 2013, soit pendant la procédure de recours devant le Tribunal fédéral, dans un courrier adressé à ce dernier, que la constructrice a indiqué qu’elle entendait, dès l’origine, réaliser des résidences principales. Au vu de ces éléments, l’on doit considérer que la constructrice n’avait pas d’autre intention que de réaliser des résidences secondaires ; elle ne démontre en tout cas pas le contraire. Or, il appartient en première ligne à celui qui entend procéder à une construction de démontrer les éléments dont dépend le respect des conditions légales (cf. arrêt AC.2011.0168 du 9 juillet 2012 consid. 3b). b) Le 19 novembre 2012, GHL Immobilière et Financière SA avait présenté une demande de permis de construire huit chalets de dix appartements chacun avec accès et 160 places de parc. Mis à l'enquête publique du 24 novembre au 23 décembre 2012, ce projet avait fait l'objet de plusieurs oppositions dont celle formée par l'association Helvetia Nostra. L'avis de mise à l'enquête ne mentionnait pas si les appartements en question étaient destinés à des résidences principales ou/et à des résidences secondaires. Par décision du 29 novembre 2013, la municipalité a délivré un permis de construire pour des résidences principales, assorti d'une obligation de mention avec réquisition d'inscription au Registre foncier au sens de l'art.</w:t>
      </w:r>
    </w:p>
    <w:p>
      <w:r>
        <w:rPr>
          <w:b/>
        </w:rPr>
        <w:t>E. 6</w:t>
      </w:r>
    </w:p>
    <w:p>
      <w:r>
        <w:t>al. 2 de l’ordonnance sur les résidences secondaires. Dans la mesure où le projet de construction n'avait pas été modifié par rapport aux plans mis à l'enquête du 24 novembre au 23 décembre 2012, la municipalité n'a pas jugé utile de le soumettre à une nouvelle enquête publique. Dès lors que l'on n'est à l'évidence pas en présence d'un changement fondamental d'affectation du point de vue de la planification, il convient de considérer qu’il n’y a en principe pas matière à nouvelle enquête publique selon l'art. 109 LATC lorsqu’un nouveau de permis de construire est délivré contenant l’obligation d’utiliser le logement comme résidence principale. En l'espèce toutefois, compte tenu des circonstances très particulières du cas, la question d’une nouvelle enquête publique se pose. En effet, il ne faut pas perdre de vue que l'on se trouve en présence d'un projet de construction de très grande ampleur, qui porte sur la construction de 80 appartements et 160 places de parc dans la commune de Leysin qui présente une proportion de résidences secondaires supérieure à 20% (cf. art. 1 al. 2 et annexe de l’ordonnance sur les résidences secondaires). La construction d'un nombre élevé de résidences principales en lieu et place de résidences secondaires implique - dans le cas d'espèce – un changement significatif du point de vue de l'environnement. L’utilisation de résidences principales plutôt que secondaires, qui sont en moyenne occupées entre 30 et 60 jours par année (cf. Résidences secondaires, Guide pour la planification directrice cantonale, Office fédéral du développement territorial, p. 34, juin 2010), entraînera en effet des inconvénients accrus pour les propriétaires voisins. Sachant que le projet comporte 160 places de parc, il en résulterait en particulier des mouvements journaliers de véhicules beaucoup plus importants, et ce, chaque jour de l’année. Un tel trafic provoquerait des nuisances sonores et en matière de protection de l’air qui ne seraient pas comparables à celles découlant du trafic causé par l’utilisation de 80 appartements en résidences secondaires entre 30 et 60 jours par année. D'autres voisins - que ceux qui avaient déjà fait opposition lors de la première mise à l'enquête - pourraient notamment être amenés à faire opposition à la modification de l'utilisation, compte tenu de l'aggravation des nuisances qui pourraient être causées. L’importance de l’impact sur l’environnement justifie ici une attention particulière quant au respect du droit d’être entendu de l’ensemble des tiers intéressés, soit notamment les propriétaires voisins et les associations à but idéal. Il se justifie ainsi exceptionnellement de procéder dans le cas présent à une nouvelle enquête publique, et non pas seulement complémentaire, portant sur l’ensemble du projet. Il conviendra également que les documents soumis à l’enquête publique contiennent la mention de l’affectation (résidence principale) de toutes les constructions projetées. Il convient donc de retourner le dossier à l'autorité intimée pour qu'elle soumette le projet en cause à une nouvelle enquête publique. Le grief des recourants sur ce point est dès lors fondé. 4. Le projet litigieux porte sur la construction de huit chalets de dix appartements chacun avec accès et places de parc sur le territoire d’une commune où s’applique le régime de l’art. 75b Cst, parce que la proportion de résidences secondaires dans la commune est supérieure à 20% (cf. art. 1 al. 2 et annexe de l’ordonnance sur les résidences secondaires). a) Les art. 75b et 197 ch. 9 al. 2 Cst. prévoient ce qui suit : " Art. 75b            Résidences secondaires 1 Les résidences secondaires constituent au maximum 20 % du parc des logements et de la surface brute au sol habitable de chaque commune. 2 La loi oblige les communes à publier chaque année leur plan de quotas de résidences principales et l'état détaillé de son exécution. Art. 197              Dispositions transitoires après acceptation de la Constitution                                    du 18 avril 1999 [...]</w:t>
      </w:r>
    </w:p>
    <w:p>
      <w:r>
        <w:rPr>
          <w:b/>
        </w:rPr>
        <w:t>E. 9</w:t>
      </w:r>
    </w:p>
    <w:p>
      <w:r>
        <w:t>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b) En l’état, des autorisations pour de nouvelles constructions dans les communes entrant dans le champ d’application de l’art. 75b al. 1 Cst. ne peuvent être délivrées que si elles respectent les exigences figurant dans l’ordonnance sur les résidences secondaires, en particulier celles de l’art. 4 précité, relatif à la construction de nouvelles résidences, et de l’art. 6 précité, portant sur la mention au Registre foncier et la notification à l’Office du développement territorial. 5. Il convient en l’occurrence d’examiner si le permis de construire portant sur la construction de huit chalets de dix appartements que la constructrice affirme vouloir affecter à de la résidence principale peut être délivré en application de l’art. 4 let. a de l’ordonnance sur les résidences principales, soit si les 80 appartements projetés constitueront bien des résidences principales. a) Il résulte de l’art. 2 let. a de l’ordonnance sur les résidences secondaires qu’est réputée résidence secondaire une résidence qui n’est pas utilisée toute l’année par une personne domiciliée dans la commune. A contrario, doit être considéré comme une résidence principale un logement utilisé toute l’année par une personne domiciliée dans la commune. Comme le relève le rapport explicatif du 17 août 2012 relatif à l’ordonnance sur les résidences secondaires établi par l’Office fédéral du développement territorial (ci-après : le rapport explicatif du 17 août 2012) p. 6, la distinction entre résidence secondaire et principale se fonde sur la notion de domicile au sens de l’art. 23 CC. Selon l'art. 23 al. 1 CC,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p. 249 ;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 Quant au domicile fiscal, il se trouve à l'endroit où le contribuable a les relations les plus étroites, soit en principe le lieu de résidence de la famille et dans certains cas particuliers le lieu de travail (ATF 135 I 233 consid. 5.1 p. 249 ; 132 I 29 consid. 4.2 p. 36). b) Dans son arrêt du 22 octobre 2012 (1C_478/2013, 1C_499/2013), par lequel il a en particulier annulé les arrêts de la Cour de céans des 8 et 16 avril 2013 (AC.2013.0109, respectivement AC.2013.0135) ainsi que les décisions de la municipalité du 31 décembre 2012 levant les oppositions au permis de construire et renvoyé la cause à la municipalité pour nouvelles décisions dans le sens des considérants, le Tribunal fédéral a en particulier relevé ce qui suit : " [...] La cour cantonale a laissé indécise la question de l’affectation de la construction litigieuse, en résidence principale ou secondaire. Or la nature du projet de construction n’est pas clairement définie. Dans ses dernières écritures, l’intimée prétend vouloir affecter les constructions à de la résidence principale. Cette question, déterminante, n’a pas été examinée par les instances précédentes puisque les nouvelles dispositions constitutionnelles ont été jugées, à tort, inapplicables. Conformément à l’art. 99 al. 1 LTF, il n’appartient pas au Tribunal fédéral de statuer en première instance sur la base d’éléments nouveaux. Il y a dès lors lieu d’annuler l’arrêt attaqué. Dans un tel cas, le Tribunal fédéral peut renvoyer la cause à l’autorité précédente ou à celle qui a statué en première instance (art. 107 al. 2 LTF). Se pose la question de savoir si la cause doit être renvoyée à la cour cantonale ou à l’autorité communale, après annulation des décisions levant les oppositions des recourants. En l’occurrence, la question de la conformité de l’autorisation de construire à l’art. 75b Cst. n’a pas été examinée lors du rejet des oppositions par la commune. La constructrice devra donc, si elle maintient sa demande de permis de construire, apporter les éclaircissements nécessaires sur ces points. Il y a ainsi lieu d’annuler les décisions levant les oppositions au permis de construire (dont l’admissibilité n’est en l’état pas démontrée) et de renvoyer la cause à l’autorité communale pour nouvelles décisions. " Malgré les indications du Tribunal fédéral, la municipalité, lors de l’octroi du nouveau permis de construire, s’est contentée des déclarations de la constructrice selon lesquelles celle-ci avait toujours eu l’intention de réaliser des résidences principales ainsi que de l’inscription au Registre foncier de la mention « résidence principale » prévue à l’art. 6 al. 2 de l’ordonnance sur les résidences secondaires. Les seules déclarations de la constructrice ne permettent pas de garantir que les appartements prévus seront effectivement affectés à de la résidence principale. En revanche, l’inscription au Registre foncier de la mention « résidence principale » prévue à l’art. 6 al. 2 de l’ordonnance sur les résidences secondaires semble suffisante, sous réserve d'un abus de droit manifeste, au regard de l'arrêt récent rendu le 4 avril 2014 par le Tribunal fédéral (1C_874/2013). A cet égard, les recourants relèvent que la Commune de Leysin a délivré systématiquement des permis de construire après la mise en consultation du projet de loi fédérale sur les résidences secondaires, laquelle prévoit à son art. 15 al. 2 que la restriction d'utilisation peut être suspendue lorsque le propriétaire prouve qu'il n'a pas trouvé d'utilisateur pour le logement principal. Selon les recourants, cette pratique, destinée à contourner les exigences de l'art. 75b Cst., serait constitutive d'un abus de droit. Dans l'arrêt précité du 4 avril 2014 (1C_874/2013), le Tribunal fédéral eu l'occasion de juger, à propos de la crainte que les constructeurs ne puissent ultérieurement profiter de la possibilité, prévue à l'art. 15 al. 2 du projet de loi, de pouvoir utiliser leur bien en résidence secondaires s'ils apportent la preuve que le logement ne peut pas être utilisé en résidence principale, qu'il s'agissait là de spéculations; on ne saurait parler d'abus de droit manifeste s'agissant d'une possibilité que pourrait offrir une loi qui n'est pas adoptée et moins encore entrée en vigueur; face à l'interdiction générale qui résultait, depuis le 11 mars 2012, de l'art. 75b Cst., on ne pouvait cependant exclure que certains constructeurs fussent tentés de contourner la réglementation en déclarant faussement qu'ils entendaient utiliser leur construction en tant que résidence principale. Un abus de droit manifeste ne pourrait toutefois être admis que s'il apparaissait d'emblée que le projet ne pourrait être utilisé en tant que résidence principale, notamment en raison de l'insuffisance de la demande de résidences principales dans la commune en question pour le type d'objets concernés, et/ou en présence d'autres indices concrets (consid. 4.5). Le Tribunal fédéral a en outre précisé que le constructeur ne saurait se prévaloir du principe de la bonne foi si une norme telle que l'art. 15 du projet de loi fédérale précitée n'était en définitive pas adoptée. Le constructeur bénéficierait ainsi d'une autorisation de construire une résidence principale à ses risques et périls (consid. 4.6). c) Or, en l'espèce, il ne s'agit pas d'un projet portant sur un appartement unique mais sur 80 logements;  eu égard à l'importance du projet litigieux, il semble douteux que ceux-ci puissent tous être utilisés en tant que résidences principales. Reste à examiner s'il appartient à la municipalité ou à la Cour de céans d'examiner s'il existe ou non des indices concrets d'un éventuel abus de droit manifeste. A partir du moment où le dossier doit de toute manière être retourné à la municipalité pour qu'elle procède à une nouvelle enquête publique (cf. consid. 3b), il appartiendra  logiquement à  l'autorité intimée d'instruire plus avant cette question. En effet, il ne ressort pas du dossier qu'il existe une forte demande de résidences principales dans la Commune de Leysin et que le marché immobilier de la commune propose un nombre insuffisant de logements à louer et/ou à vendre au titre de résidences principales. La municipalité devra ainsi examiner, avant l’octroi éventuel d’un permis de construire, la question d'un éventuel abus de droit manifeste. Il conviendrait, par exemple, d'établir le taux de vacance de résidences principales de la Commune de Leysin, voire démontrer, au moyen de statistiques ou autres, que cette dernière souffrirait d’une pénurie de résidences principales. Il s'agirait aussi de déterminer s’il existe des personnes qui chercheraient à s'installer à Leysin, voire également y travailler, et donc à disposer dans cette localité d’une résidence principale. La constructrice pourrait produire, entre autres pièces, copie de contrats de promesses de vente et d’achat conclus avec des personnes souhaitant s’établir à Leysin, notamment avec des personnes ayant conclu un contrat de travail avec un employeur établi dans la région. 6. Vu ce qui précède, le recours doit être admis et la décision de la Municipalité de Leysin du 29 novembre 2013 annulées, le dossier étant renvoyé à l'autorité intimée pour complément d'instruction et nouvelle décision. Les frais de justice sont mis à la charge de la constructrice, qui succombe (art. 49 de la loi vaudoise du 28 octobre 2008 sur la procédure administrative [LPA-VD ; RSV 173.36]). Les recourants, qui obtiennent gain de cause, ont droit à des dépens, mis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