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AC.2013.0499 vom 12. August 2014</w:t>
      </w:r>
    </w:p>
    <w:p>
      <w:r>
        <w:t>VD Tribunal cantonal, 2014-08-12, FR</w:t>
      </w:r>
    </w:p>
    <w:p>
      <w:r>
        <w:rPr>
          <w:b/>
        </w:rPr>
        <w:t xml:space="preserve">Quelle: </w:t>
      </w:r>
      <w:r>
        <w:t>https://mcp.opencaselaw.ch/entscheid/vd_omni_AC.2013.0499</w:t>
      </w:r>
    </w:p>
    <w:p>
      <w:r>
        <w:t>FR: VD_OMNI AC.2013.0499 du 12 août 2014</w:t>
      </w:r>
    </w:p>
    <w:p>
      <w:r>
        <w:t>IT: VD_OMNI AC.2013.0499 del 12 agosto 2014</w:t>
      </w:r>
    </w:p>
    <w:p>
      <w:pPr>
        <w:pStyle w:val="Heading2"/>
      </w:pPr>
      <w:r>
        <w:t>Regeste</w:t>
      </w:r>
    </w:p>
    <w:p>
      <w:r>
        <w:t>FROIDEVAUX-HORN/Département de l'intérieur, Municipalité de Montreux | Construction sise en zone intermédiaire. Travaux réalisés sans autorisation consistant à agrandir une lucarne existante et à réaliser deux nouvelles lucarnes "chien couché" de 2 m 70 de large et 1 m 87 de haut. Ordre de supprimer les trois lucarnes. Constat que les travaux modifient l'aspect extérieur du bâtiment et qu'ils ne peuvent pas être autorisés en application de l'art. 24c al. 4 LAT. Au surplus, les nouvelles lucarnes sont surdimensionnées et portent atteinte à l'identité du bâtiment. On ne se trouve dès lors pas en présence d'une transformation partielle ou d'un agrandissement susceptible d'être autorisés en application de l'art. 24 c al. 2 LAT. Ordre de remise en état conforme au principe de la proportionnalité compte tenu de l'importance des dérogations aux règles applicables, de l'intérêt public en jeu et du fait que la recourante ne peut pas se prévaloir de sa bonne foi.</w:t>
      </w:r>
    </w:p>
    <w:p>
      <w:pPr>
        <w:pStyle w:val="Heading2"/>
      </w:pPr>
      <w:r>
        <w:t>Erwägungen</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3.6</w:t>
      </w:r>
    </w:p>
    <w:p>
      <w:r>
        <w:t>p. 175/176; 136 I 87 consid. 3.2 p. 91/92, 197 consid. 4.4.4 p. 205, et les arrêts cités). Même un constructeur qui n'est pas de bonne foi peut invoquer le principe de proportionnalité (arrêt AC.2012.0034 précité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p. 252; 111 Ib 213 consid. 6b p. 224; 102 Ib 64 consid. 4 p. 69). b) En l'espèce, les dérogations aux principes posés aux art. 24c LAT et 42 OAT en matière de constructions hors de la zone à bâtir ne sauraient être qualifiées de mineures.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40). L'ordre de remise en état répond par conséquent à un intérêt public important. Au surplus, la recourante ne peut pas se prévaloir de sa bonne foi dès lors qu'elle a entrepris des travaux relativement importants, ayant un impact sur l'extérieur du bâtiment, sans demander d'autorisation. Malgré le coût de la remise en état, il résulte de ce qui précède que l'ordre de supprimer les trois lucarnes respecte le principe de la proportionnalité et doit être confirmé. Il appartiendra cas échéant à la constructrice de présenter aux autorités cantonale et communale compétente un nouveau projet permettant de créer les ouvertures qui sont nécessaires à un usage d'habitation répondant aux normes usuelles. 3. Dans ses déterminations sur le recours, la municipalité a invoqué le non-respect du règlement communal en ce qui concerne la longueur des lucarnes. Cette question sort de l'objet du litige puisque, en l'état, la municipalité n'a pas formellement rendu de décision sur ce point. Il n'est par conséquent pas nécessaire d'examiner cette question plus avant. 4.                Le recours doit ainsi être rejeté et la décision attaquée être confirmée. Vu le sort du recours, les frais de la cause sont mis à la charge de la recourante. Il n'y a pas lieu d'allouer de dépens.</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 La modification de l'art. 24c LAT a entraîné celle, adoptée le 10 octobre 2012 et entrée en vigueur le 1 er novembre 2012, de différentes dispositions de l'OAT, notamment de l'art. 42 OAT, qui prévoit désormais ce qui suit: "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 a.            à l'intérieur du volume bâti existant, la surface brute de plancher imputable ne peut pas être agrandie de plus de 60%,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4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b) En l'espèce, les travaux litigieux sont essentiellement des modifications apportées à l'aspect extérieur de la construction tout en apportant une volumétrie supplémentaire aux chambres concernées par les lucarnes litigieuses. Pour qu'ils soient admis, le constructeur doit démontrer, en application de l'art. 24c al. 4 LAT, que ces modifications sont nécessaires à un usage d'habitation répondant aux normes usuelles ou à un assainissement énergétique ou visent à une meilleure intégration dans le paysage. En l'occurrence, on ne se trouve dans aucune de ces hypothèses. On relève notamment que des lucarnes avec des dimensions aussi importantes ne sont nécessaires ni pour répondre aux exigences en matière d'éclairage de locaux susceptibles de servir à l'habitation ou au travail sédentaire résultant de l'art. 28 du règlement d'application du 19 septembre 1986 de la loi du 4 décembre 1985 sur l'aménagement du territoire et les constructions (RLATC; RSV 700.11.1) ni pour un assainissement énergétique du bâtiment. On relève au surplus que les nouvelles lucarnes sont surdimensionnées par rapport à la surface de la toiture et portent par conséquent atteinte à l'identité du bâtiment. On ne se trouve dès lors pas en présence d'une transformation partielle ou d'un agrandissement mesuré au sens de l'art. 42 al. 1 OAT, qui pourraient être autorisés en application de l'art. 24c al. 2 LAT. 2.                Il résulte de ce qui précède que c'est à juste titre que le SDT a refusé d'autoriser les lucarnes. Il convient encore d'examiner si l'ordre de démolition peut être confirmé. a) Selon les art. 105 al. 1 et 130 al. 2 de la loi du 4 décembre 1985 sur l'aménagement du territoire et les constructions (LATC; RSV 700.11),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AC.2013.0183 du 3 juillet 2013 consid. 3a; AC.2012.0034 du 25 juin 2012 consid. 3a; Benoît Bovay, Le permis de construire en droit vaudois, 2 ème éd., Lausanne 1988, p. 200). Par démolition, il faut entendre non seulement la démolition proprement dite de travaux effectués sans droit, mais aussi la remise en état des lieux (arrêt AC.2012.0034 précité consid. 3a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137 I 167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