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AC.2013.0498 vom 28. Oktober 2014</w:t>
      </w:r>
    </w:p>
    <w:p>
      <w:r>
        <w:t>VD Tribunal cantonal, 2014-10-28, FR</w:t>
      </w:r>
    </w:p>
    <w:p>
      <w:r>
        <w:rPr>
          <w:b/>
        </w:rPr>
        <w:t xml:space="preserve">Quelle: </w:t>
      </w:r>
      <w:r>
        <w:t>https://mcp.opencaselaw.ch/entscheid/vd_omni_AC.2013.0498</w:t>
      </w:r>
    </w:p>
    <w:p>
      <w:r>
        <w:t>FR: VD_OMNI AC.2013.0498 du 28 octobre 2014</w:t>
      </w:r>
    </w:p>
    <w:p>
      <w:r>
        <w:t>IT: VD_OMNI AC.2013.0498 del 28 ottobre 2014</w:t>
      </w:r>
    </w:p>
    <w:p>
      <w:pPr>
        <w:pStyle w:val="Heading2"/>
      </w:pPr>
      <w:r>
        <w:t>Regeste</w:t>
      </w:r>
    </w:p>
    <w:p>
      <w:r>
        <w:t>FREI-MALIK/Municipalité de Duillier | Recours contre un projet de déchetterie situé à proximité d'un secteur de protection des eaux. Une éventuelle pollution des eaux souterraines du fait de l'exploitation de la déchetterie litigieuse ne saurait fonder la qualité pour recourir du propriétaire foncier du fait de son raccordement au réseau de distribution d'eau potable. La parcelle du recourant est située à une distance importante de celle où le projet litigieux doit prendre place et l'intéressé ne fait pas valoir qu'elle serait susceptible de causer des nuisances particulières. Recours déclaré irrecevable.</w:t>
      </w:r>
    </w:p>
    <w:p>
      <w:pPr>
        <w:pStyle w:val="Heading2"/>
      </w:pPr>
      <w:r>
        <w:t>Erwägungen</w:t>
      </w:r>
    </w:p>
    <w:p>
      <w:r>
        <w:rPr>
          <w:b/>
        </w:rPr>
        <w:t>E. 1</w:t>
      </w:r>
    </w:p>
    <w:p>
      <w:r>
        <w:t>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(AC.2009.0029 du 28 janvier 2010; AC.2008.0224 du 6 mai 2009 et GE.2008.0194 du 29 avril 2009 cités dans AC.2009.0072 du 11 novembre 2009; voir également AC.2013.0280 du 12 mai 2014 consid. 1a).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En matière de construction , le voisin a qualité pour agir lorsque son terrain jouxte celui du constructeur ou se trouve à sa proximité immédiate (ATF 135 II 145 consid. 6.2 p. 152; 133 II 409 consid. 1.3 p. 413; 110 Ib 145 consid. 1b p. 147; 112 Ib 170 consid. 5b p. 173 s.; 270 consid. 2c p. 272 s.) ou, même en l'absence de voisinage direct, quand une distance relativement faible sépare l'immeuble du recourant de l'installation litigieuse (ATF 121 II 171 consid. 2b p. 174). La proximité avec l'objet du litige ne suffit cependant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p. 33).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consid. 2.3.1 p. 285; 125 II 10 consid. 3a p. 15 s.; 1A.179/1996 du 8 avril 1997 in RDAF 1997 I p. 242).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c) En matière de protection des eaux, le Tribunal fédéral admet de longue date la qualité pour recourir du propriétaire foncier qui conteste un plan incluant son terrain dans le périmètre d'une zone de protection S 1, S 2 ou S 3; cet administré est en effet soumis à de nouvelles restrictions dans l'exercice de son droit de propriété et l'annulation de la mesure contestée lui permettrait d'utiliser son bien-fonds de manière différente (cf. ATF 120 Ib 224; arrêt non publié du 28 octobre 1994 en la cause I c. commune de W.). Il en va de même du particulier ou la collectivité qui est propriétaire de la source ou qui exploite le captage si elle entend contester une décision de l'autorité cantonale relative à la délimitation des zones de protection des eaux souterraines La situation du propriétaire abonné - ou raccordé - au réseau de distribution d'eau potable est toutefois manifestement différente de celle du propriétaire dont le fonds est inclus dans une zone de protection, ainsi que de celle de l'organe chargé de fournir l'eau. Dans l’arrêt 121 II 39 du 20 février 1995, le Tribunal fédéral a ainsi dénié tout intérêt digne de protection aux propriétaires de bâtiments raccordés au réseau qui contestaient le périmètre des zones de protection défini autour d’un captage par le fait qu’ils craignaient d’être intoxiqués s'il leur était fourni de l'eau non potable. A l’appui de son raisonnement, le Tribunal fédéral a notamment relevé que, selon la législation vaudoise, il appartenait à la collectivité de fournir de l'eau de bonne qualité aux abonnés (cf. art. 2 de la loi cantonale sur la distribution de l'eau). Dans l'hypothèse d'une pollution accidentelle, notamment si les mesures de protection définies se révélaient inadéquates, il a constaté qu’il incomberait à la collectivité responsable de renoncer à l'exploitation du captage en cause. Il était peu probable que l'abonné subisse effectivement un préjudice du fait de la qualité de l'eau distribuée. d) En l’espèce, la recourante expose dans ses différentes écritures agir en tant que citoyenne contre le projet de déchetterie incriminé, craignant que l’emplacement choisi par la municipalité ne comporte des risques trop importants en matière de pollution des eaux souterraines. Elle explique à ce titre que son opposition et son recours sont essentiellement motivés par le souci écologique d’assurer la protection de la nappe phréatique. La recourante ne fait en revanche pas valoir que son domicile se situerait à proximité de l’installation litigieuse ou que l’exploitation de celle-ci lui ferait subir des nuisances particulières, telles des émissions sonores ou olfactives. L’emplacement de la déchetterie litigieuse, situé de l’autre côté de l’autoroute et à plus de cinq cent mètres à vol d’oiseau de son habitation permet en effet d’exclure toute atteinte directe ou indirecte de cette nature. Interprétés dans une perspective individuelle, les arguments soulevés la recourante tendent par conséquent à contester l’autorisation de construire délivrée par la municipalité par crainte d’une éventuelle contamination de l’eau potable en raison de la proximité entre l’installation litigieuse et les secteurs de protection des (futurs) captages. La recourante, qui conteste l’emplacement de la déchetterie projetée du fait de la menace que l’installation fait peser sur la qualité des eaux souterraines, se trouve donc dans une situation comparable à celle précédemment évoquée où des recourants, locataires et propriétaires fonciers, contestaient le périmètre des zones de protection défini autour d’un captage. L'hypothèse d'une pollution accidentelle du réseau ne saurait certes être totalement exclue, notamment si les mesures de protection arrêtées dans le cadre des autorisations spéciales délivrées en vue de l’exploitation de la décharge litigieuse se révélaient inadéquates ou insuffisantes. Dans une telle éventualité toutefois, la collectivité responsable devrait renoncer à l'exploitation du captage en cause, pour autant que la qualité de l'eau distribuée soit affectée par cette pollution, mais il est peu probable que l'abonné subisse individuellement un préjudice. Une éventuelle menace sur la qualité de l’eau potable ne saurait ainsi fonder à elle seule la qualité pour recourir de tous les administrés raccordés au réseau contre la déchetterie prévue du fait de la menace hypothétique qu’elle représente, sauf à admettre l’action populaire. La recourante, en tant que consommateur d’eau potable, ne saurait ainsi se prévaloir d’un intérêt digne de protection à contester l’emplacement de la déchetterie litigieuse ou encore les conditions liées à son exploitation telles que mentionnées dans la décision querellée. Indépendamment de tout autre préjudice, le recours d'un particulier formé dans l'intérêt de la loi ou de la protection de l’environnement, doit en effet être déclaré irrecevable.</w:t>
      </w:r>
    </w:p>
    <w:p>
      <w:r>
        <w:rPr>
          <w:b/>
        </w:rPr>
        <w:t>E. 2</w:t>
      </w:r>
    </w:p>
    <w:p>
      <w:r>
        <w:t>Il résulte des considérants qui précèdent que le recours doit être déclaré irrecevable. Compte tenu de l'issue de la cause, des frais seront mis à la charge de la recourante qui succombe (art. 49 al. 1 LPA-VD); ceux-ci seront toutefois réduits en l’absence d’audience. La municipalité n’ayant pas été représentée par un mandataire professionnel, il n’y a en outre pas lieu de lui accorder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