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AC.2013.0477 vom 1. Juli 2014</w:t>
      </w:r>
    </w:p>
    <w:p>
      <w:r>
        <w:t>VD Tribunal cantonal, 2014-07-01, FR</w:t>
      </w:r>
    </w:p>
    <w:p>
      <w:r>
        <w:rPr>
          <w:b/>
        </w:rPr>
        <w:t xml:space="preserve">Quelle: </w:t>
      </w:r>
      <w:r>
        <w:t>https://mcp.opencaselaw.ch/entscheid/vd_omni_AC.2013.0477</w:t>
      </w:r>
    </w:p>
    <w:p>
      <w:r>
        <w:t>FR: VD_OMNI AC.2013.0477 du 1 juillet 2014</w:t>
      </w:r>
    </w:p>
    <w:p>
      <w:r>
        <w:t>IT: VD_OMNI AC.2013.0477 del 1 luglio 2014</w:t>
      </w:r>
    </w:p>
    <w:p>
      <w:pPr>
        <w:pStyle w:val="Heading2"/>
      </w:pPr>
      <w:r>
        <w:t>Regeste</w:t>
      </w:r>
    </w:p>
    <w:p>
      <w:r>
        <w:t>CURDY/Municipalité de Noville | L'obligation faite par la commune au recourant d'être inscrit au registre du commerce pour obtenir une autorisation de circuler et la possibilité d'utiliser une parcelle comme place d'atterrissage pour les cours SIV qu'il organise porte atteinte au principe de la liberté économique. Cette atteinte répond à un intérêt public, tant sous l'angle de la sécurité publique que sous celui de l'ordre public. La question de la base légale est en revanche plus délicate. Ne peuvent entrer en ligne de compte ni l'art. 36 al. 1 ORC ni l'art. 2 LC. La question n'a toutefois pas à être tranchée définitivement dès lors qu'il apparaît que la mesure viole de toute façon le principe de proportionnalité, plus précisément la règle de l'aptitude. La commune n'a donné aucune explication valable à l'égard de la necessité d'être inscrit au registre du commerce. Le tribunal ne voit pas en quoi cette exigence pourrait garantir un meilleur respect de l'ordre et de la sécurité publics. L'atteinte portée à la liberté économique du recourant ne s'avère ainsi pas admissible. Admission du recours et renvoi du dossier à l'intimée pour qu'elle examine si les autres conditions de délivrance d'une autorisation sont réunies.</w:t>
      </w:r>
    </w:p>
    <w:p>
      <w:pPr>
        <w:pStyle w:val="Heading2"/>
      </w:pPr>
      <w:r>
        <w:t>Erwägungen</w:t>
      </w:r>
    </w:p>
    <w:p>
      <w:r>
        <w:rPr>
          <w:b/>
        </w:rPr>
        <w:t>E. 1</w:t>
      </w:r>
    </w:p>
    <w:p>
      <w:r>
        <w:t>Il y a tout d’abord lieu de trancher des questions de recevabilité. a) Aux termes de l’art. 95 LPA-VD, le recours au Tribunal cantonal s'exerce dans les trente jours dès la notification de la décision ou du jugement attaqués. A teneur de l’art. 20 al. 1 LPA-VD, le délai est réputé observé lorsque l'écrit est remis à l'autorité, à un bureau de poste suisse ou à une représentation diplomatique ou consulaire suisse, au plus tard le dernier jour du délai. L’art. 20 al. 2 LPA-VD prévoit que lorsqu'une partie s'adresse en temps utile à une autorité incompétente, le délai est réputé sauvegardé; dans ce cas, l'autorité saisie à tort atteste la date de réception. Selon l’art. 7 al. 1 LPA-VD, l'autorité qui s'estime incompétente transmet la cause sans délai à l'autorité qu'elle juge compétente b) Par décision susceptible de recours, on entend, selon l’art. 3 LPA-VD, toute mesure prise par une autorité dans un cas d’espèce, en application du droit public, ayant pour objet de créer, de modifier ou d’annuler des droits et obligations (let. a); de constater l’existence, l’inexistence ou l’étendue de droits ou d’obligations (let. b); de rejeter ou de déclarer irrecevables des demandes tendant à créer, modifier, annuler ou constater des droits et obligations (let. c). c) Toute personne a droit, dans une procédure judiciaire ou administrative, à ce que sa cause soit traitée équitablement et jugée dans un délai raisonnable (art. 29 al. 1 Cst.). L’autorité saisie d’une demande tendant au prononcé d’une décision en vérifie d’abord la recevabilité; à défaut, elle refuse d’entrer en matière. Si les conditions formelles sont réunies, l’autorité examine les questions de fond; sur cette base, elle admettra la demande ou la rejettera; dans un cas comme dans l’autre, elle rendra une décision formelle. d) En l’espèce, la décision attaquée constitue bien une décision au sens de l’art. 3 LPA-VD. Elle a été rendue dans un cas d’espèce par une autorité agissant sur la base de ses compétences en matière de maintien de l’ordre public et constate l’inexistence d’un droit à une autorisation d’atterrissage. Elle est ainsi susceptible de recours auprès de l’autorité de céans. Il se pose encore la question du délai de recours. Comme le prévoit l’art. 20 LPA-VD, une erreur quant à l’autorité destinataire du recours demeure sans conséquence: l’envoi sera acheminé d’office par celle qui l’a reçu à celle à laquelle il aurait dû être adressé et le délai sera considéré comme respecté, si l’acte est parvenu à temps à la première (cf. Pierre Moor/Etienne Poltier, Droit administratif II, 3 ème édition, Berne 2011, n° 5.8.1.2). Ainsi, dans le cas présent, l’autorité intimée ne pouvait pas rester sans réaction face au recours du 24 septembre 2013, sous peine de commettre un déni de justice. Elle devait le transmettre au tribunal de céans, comme objet de sa compétence. Il est vrai qu’il ne s’agit en l’occurrence pas d’une erreur d’adressage, le recourant – représenté par un avocat – sachant que la municipalité n’était pas compétente pour traiter du recours. Cela étant, selon ses termes, l’art. 20 LPA-VD ne se limite pas aux cas d’erreur. Dans le souci d’éviter un formalisme excessif, il convient ainsi de considérer que le recours pouvait être adressé à l’autorité intimée et que le délai de trente jours de l’art. 95 LPA-VD est sauvegardé.</w:t>
      </w:r>
    </w:p>
    <w:p>
      <w:r>
        <w:rPr>
          <w:b/>
        </w:rPr>
        <w:t>E. 2</w:t>
      </w:r>
    </w:p>
    <w:p>
      <w:r>
        <w:t>La loi du 28 février 1956 sur les communes (LC, RSV 175.11) prévoit que les autorités communales exercent les attributions et exécutent les tâches qui leur sont propres, dans le cadre de la constitution et de la législation cantonales (art. 2 al. 1). Ces attributions et tâches propres comprennent notamment les mesures propres à assurer l’ordre et la tranquillité publics, ainsi que la salubrité publique (art. 2 al. 2 let. d).</w:t>
      </w:r>
    </w:p>
    <w:p>
      <w:r>
        <w:rPr>
          <w:b/>
        </w:rPr>
        <w:t>E. 3</w:t>
      </w:r>
    </w:p>
    <w:p>
      <w:r>
        <w:t>La liberté économique est garantie (art. 27 al. 1 Cst., art. 94 al. 1 Cst. et art. 26 al. 1 Cst./VD). Elle protège le libre choix de la profession, le libre accès à une activité économique lucrative et son libre exercice (art. 27 al. 2 Cst. et art. 26 al. 2 Cst./VD; ATF 137 I 167 consid. 3.1 p. 172; 136 I 197 consid. 4.4.1 p. 203/204; 135 I 130 consid. 4.2 p. 135, et les arrêts cités ). Elle peut être invoquée tant par les personnes physiques que par les personnes morales (ATF 131 I 223 consid. 4.1 p. 230 s.).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Sont autorisées les mesures de police, les mesures de politique sociale ainsi que les mesures dictées par la réalisation d'autres intérêts publics (ATF 131 I 223 consid. 4.2 p. 231 s. et les références citées). Les mesures restreignant l'activité économique peuvent viser à protéger l'ordre, la santé, la moralité et la sécurité publics, ainsi que la bonne foi en affaires (ATF 131 I 223 consid. 4.2 p. 231; 125 I 322 consid. 3a p. 326, 335 consid. 2a p. 337, et les arrêts cités). Sont en revanche prohibées les mesures de politique économique ou de protection d'une profession qui entravent la libre concurrence en vue de favoriser certaines branches professionnelles ou certaines formes d'exploitation (ATF 131 I 223 consid. 4.2 p. 231 s.; 130 I 26 consid. 6.3.3.1 p. 53; 125 I 209 consid. 10a p. 221, 322 consid. 3a p. 326 et les arrêts cités; cf. au surplus, Klaus Vallender/Peter Hettich/Jens Lehne, Wirtschaftsfreiheit und begrenzte Staatsverantwortung, 4 ème édition, Berne 2006, § 5 N. 103 et ss). La jurisprudence a encore établi que l'égalité de traitement entre concurrents directs, c'est-à-dire entre personnes appartenant à une même branche économique qui s'adressent au même public avec des offres identiques pour satisfaire le même besoin (ATF 125 II 129 consid. 10b p. 149 et la jurisprudence citée), découlant de l'art. 27 Cst. n'était pas absolue et autorisait des différences à condition que celles-ci répondent à des critères objectifs et résultent du système lui-même; il est seulement exigé que les inégalités ainsi instaurées soient réduites au minimum nécessaire pour atteindre le but d'intérêt public poursuivi (arrêts 2P.83/2005 du 26 janvier 2006 consid. 2.3, et 2A.26/2005 du 14 juin 2005 consid. 4.2; cf. aussi ATF 125 I 431 consid. 4b/aa p. 435/436 appliquant l'art. 31 aCst.).</w:t>
      </w:r>
    </w:p>
    <w:p>
      <w:r>
        <w:rPr>
          <w:b/>
        </w:rPr>
        <w:t>E. 4</w:t>
      </w:r>
    </w:p>
    <w:p>
      <w:r>
        <w:t>p. 205, et les arrêts cités). Dans le cas présent , l a restriction imposée par l'autorité intimée apparaît problématique au regard du premier critère précité . Selon ce critère, il n’est pas nécessaire que le moyen choisi soit le plus efficace mais il doit être propre à att eindre le but visé ( a insi , par exemple, on ne saurait refuser l’accès à une école de guide de montagne à un candidat au motif qu’il a été condamné pour objection de conscience, cf. ATF 10 3 Ia 544). Or la municipalité n ’a donn é aucune explication valable à l’ égard de la necessité d’être inscrit au registre du commerce . Elle n’a ainsi jamais expliqué, alors même que le recourant a précisé qu’il constestait essentiellement l’obligation qui lui était faite de s’inscrire au registre du commerce – dont il ne voyait pas en quoi elle permettait à la commune de réguler l’accès au site – , les raisons sur lesquelles se fondait cette exigence . Certes, dans sa décision du 27 août 2013, elle a précisé que la réquisition d’inscription au registre du commerce devait " permettre de définir les critères d’acceptation des dates de cours SIV ainsi que les autorisations ponctuelles de circuler " . De même, dans ses écritures complémentaires du 8 avril 2014, elle a souligné que, dès lors qu’elle avait la responsabilité de gérer le site, il était normal qu’elle édicte des règles. Or ces arguments ne démontrent nullement en quoi le fait que les entreprises organisant des cours SIV soient inscrites au registre du commerce p ourrait garantir un mei lleur respect de l’or dre et de la sécurité publi cs que l’absence d’inscription au registre du commerce. Pour ce motif déjà, la condition d’incription au registre du commerce imposée au recourant par l’autorité intimée ne paraît pas propre à atteindre le but visé et viole le principe de proportionnalité. L’atteinte portée à l a liberté économique du recourant ne s’avère ainsi pas admissible.</w:t>
      </w:r>
    </w:p>
    <w:p>
      <w:r>
        <w:rPr>
          <w:b/>
        </w:rPr>
        <w:t>E. 5</w:t>
      </w:r>
    </w:p>
    <w:p>
      <w:r>
        <w:t>Au vu de ce qui précède, c’est à tort que l’autorité intimée a posé l’inscription au registre du commerce comme préalable à tout octroi d’autorisation en faveur du recourant. La décision attaquée étant contraire au droit, le recours doit dès lors être admis et la décision attaquée annulée. Le dossier sera retourné à la municipalité pour qu’elle examine si les autres conditions de délivrance d’une autorisation sont réunies et qu’elle se prononce à nouveau sur la requête du recourant. Vu l’issue du pourvoi, les frais du présent arrêt seront mis à la charge de la commune; obtenant gain de cause et ayant procédé par l’intermédiaire d’un mandataire, le recourant se verra allouer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