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AC.2013.0472 vom 20. März 2015</w:t>
      </w:r>
    </w:p>
    <w:p>
      <w:r>
        <w:t>VD Tribunal cantonal, 2015-03-20, FR</w:t>
      </w:r>
    </w:p>
    <w:p>
      <w:r>
        <w:rPr>
          <w:b/>
        </w:rPr>
        <w:t xml:space="preserve">Quelle: </w:t>
      </w:r>
      <w:r>
        <w:t>https://mcp.opencaselaw.ch/entscheid/vd_omni_AC.2013.0472</w:t>
      </w:r>
    </w:p>
    <w:p>
      <w:r>
        <w:t>FR: VD_OMNI AC.2013.0472 du 20 mars 2015</w:t>
      </w:r>
    </w:p>
    <w:p>
      <w:r>
        <w:t>IT: VD_OMNI AC.2013.0472 del 20 marzo 2015</w:t>
      </w:r>
    </w:p>
    <w:p>
      <w:pPr>
        <w:pStyle w:val="Heading2"/>
      </w:pPr>
      <w:r>
        <w:t>Regeste</w:t>
      </w:r>
    </w:p>
    <w:p>
      <w:r>
        <w:t>BOVAY/Municipalité de Pully, LAVANCHY | Recours formé par un voisin contre la délivrance d'un permis de construire un bâtiment d'habitation avec garage souterrain (après démolition de la maison familiale existante) et la levée de son opposition dans ce cadre. En tant qu'il habite une parcelle voisine, le recourant a la qualité pour recourir; la consorité nécessaire à laquelle l'autorité intimée se réfère dans ce cadre (s'agissant d'une copropriété par étage) ne concerne pas ce type d'action défensive, chaque copropriétaire ayant bien plutôt le droit d'exercer dans l'intérêt de tous les prétentions indivisibles découlant du droit de la propriété, en particulier l'action en cessation du trouble, et cela même si les autres copropriétaires ont consenti à un tel trouble. Sur le fond, l'autorité intimée n'a pas abusé de son pouvoir d'appréciation en considérant que le garage souterrain s'intégrait harmonieusement dans le terrain et pouvait ainsi ne pas être pris en compte dans les calculs de la surface bâtie et de la distance aux limites; aucun élément ne permet pour le reste de s'écarter de la jurisprudence de la cour de céans (qui concernait la même commune) s'agissant de l'application de la LRou au calcul de la distance minimale entre le bâtiment projeté et le chemin le desservant, ou encore du caractère admissible de l'interprétation municipale selon laquelle la réalisation d'un attique n'empêche pas l'utilisation de la surface créée par le retrait sous forme de terrasses. Les griefs de l'intéressé en lien avec le caractère prétendument insuffisant de l'accès ne résistent pas davantage à l'examen. Rejet du recours et confirmation de la décision attaquée.</w:t>
      </w:r>
    </w:p>
    <w:p>
      <w:pPr>
        <w:pStyle w:val="Heading2"/>
      </w:pPr>
      <w:r>
        <w:t>Erwägungen</w:t>
      </w:r>
    </w:p>
    <w:p>
      <w:r>
        <w:rPr>
          <w:b/>
        </w:rPr>
        <w:t>E. 1</w:t>
      </w:r>
    </w:p>
    <w:p>
      <w:r>
        <w:t>A la suite du retrait de son recours par Mariane Meyer (cf. let. C supra ), l'autorité intimée, dans ses observations complémentaires du 30 avril 2014, a principalement conclu à l'irrecevabilité du recours, au motif que l'épouse du recourant Henri Bovay, copropriétaire du lot de PPE n° 4915, n'avait pas recouru. Selon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le recourant est copropriétaire d’une part de propriété par étage de la parcelle n° 497 du cadastre de la commune de Pully, bien-fonds sis au nord-est de la parcelle n° 482 objet du permis de construire contesté, les deux parcelles étant séparées par le chemin des Plateires. Il s'impose de constater que le recourant est directement et personnellement atteint par la décision entreprise, ne serait-ce qu’à titre de simple usager ou d’habitant de la parcelle voisine, et ce indépendamment de la nature de son droit de (co)propriété ou d’usage. Il a à ce titre manifestement la qualité pour recourir en tant que voisin. La consorité nécessaire à laquelle l'autorité intimée se réfère dans ce cadre ne concerne pas ce type d’action défensive. Bien au contraire, en vertu des règles de droit privé applicables, chaque copropriétaire a le droit d’exercer dans l’intérêt de tous les prétentions indivisibles découlant du droit de la propriété, en particulier l’action en cessation du trouble, et cela même si les autres copropriétaires ont consenti audit trouble (cf. art. 648 al. 1 CC; ATF 95 II 397, JdT 1971 I 244; TF, arrêt 1A.133/2003 du 15 avril 2004 consid. 1.3; Paul-Henry Steinauer, Les droits réels, Tome I, 4 ème éd., Berne 2007, N 1252 s.; Amédeo Wermelinger, La propriété par étages, 2 ème éd., Rothenburg 2008, N 193 ad art. 712a CC). Pour le reste, il n'est pas contesté que le recourant ait pris part à la procédure devant l'autorité précédente et qu'il dispose d'un intérêt digne de protection à ce que la décision soit annulée ou modifiée, de sorte que la qualité pour recourir doit lui être reconnue (cf. art. 75 al. 1 let. a LPA-VD); déposé en temps utile (cf. art. 95 LPA-VD), le recours satisfait en outre aux autres conditions formelles de recevabilité (cf. art. 79 al. 1 LPA-VD, applicable par analogie par renvoi de l'art. 99  LPA-VD), de sorte qu'il y a lieu d'entrer en matière sur le fond.</w:t>
      </w:r>
    </w:p>
    <w:p>
      <w:r>
        <w:rPr>
          <w:b/>
        </w:rPr>
        <w:t>E. 2</w:t>
      </w:r>
    </w:p>
    <w:p>
      <w:r>
        <w:t>LRou). En l’espèce, la parcelle n° 2074 est longée à l’Est par le chemin du Liaudoz, qui est une route communale de 2 e classe. Dès lors que la commune n’a pas adopté de plan fixant la limite des constructions le long de cette route dans le secteur en cause, la distance à respecter par le projet contesté est de 7 m à l’axe de la route, exigence qui est respectée en l’espèce. Contrairement à ce que soutiennent les recourants, l’art. 16 RC, qui concerne la distance minimum entre un bâtiment et les limites de propriété, n’est pas applicable pour ce qui est de la distance séparant le bâtiment projeté du chemin du Liaudoz. On relèvera que la situation pourrait être différente si le règlement communal incluait une disposition relative à la distance minimale entre la façade d’un bâtiment et le domaine public (cf. pour des réglementations communales de ce type, arrêts AC.2002.0137 du 17 décembre 2002 relatif à la Commune d’Aubonne, AC.2009.0094 du 19 mai 2010 relatif à la Commune de Gilly, AC.2010.0243 du 16 mars 2011 relatif à la Commune de Faoug). […] En l’occurrence, en l’absence de disposition sur les distances à respecter par rapport au domaine public dans le règlement communal, la question du respect d’une réglementation cas échéant plus restrictive que celle de l’art. 36 LRou ne se pose pas. On relèvera encore que l’art. 17 RC mentionné par les recourants ne s’applique pas en l’espèce puisque, selon son texte clair, il ne concerne que la distance à respecter par rapport à une voie publique projetée et non pas par rapport à une voie publique existante." Le tribunal ne voit aucun motif de s'écarter de la teneur de ce considérant dans le cas d'espèce, en ce sens en substance que la distance séparant le bâtiment projeté du chemin des Plateires est régie par la LRou - l'art. 16 RCATC ne trouvant pas application s'agissant d'une distance entre la façade d'un bâtiment et le domaine public -, respectivement que l'art. 17 RCATC ne s'applique pas davantage dans la mesure où il s'agit d'une voie publique existante; il importe peu à l'évidence, en lien avec ce dernier point, que soit prévue la création d'un trottoir communal en bordure sud du chemin concerné, un tel aménagement n'ayant aucune incidence sur l'axe de la chaussée tel que délimité en application de l'art. 36 al. 2 LRou. Cela étant, le chemin des Plateires étant une route communale de 2 ème classe, la distance minimale à observer entre le bâtiment projeté et ce chemin est de 7 m (art. 36 al. 1 let. c LRou); il s'impose de constater que cette distance est respectée en l'occurrence, ainsi qu'en atteste le plan de situation du 2 septembre 2013 reproduit sous let. B ci-dessus. c) Le recourant relève par ailleurs que la totalité du dernier étage est occupée soit par un attique soit par des terrasses, en violation de l'art. 22 al. 3 RCATC - dont le but est précisément, à leur sens, de limiter l'occupation de l'étage en cause. Il estime en outre que le projet est d'autant plus problématique que l'attique ne présente pas de retrait systématique par rapport à l'étage inférieur. Sur ce point également, l'autorité intimée et le constructeur se réfèrent à la teneur de l'arrêt AC.2012.0340 précité, dont il résulte en particulier ce qui suit (consid. 7): "a) L’art. 22 al.</w:t>
      </w:r>
    </w:p>
    <w:p>
      <w:r>
        <w:rPr>
          <w:b/>
        </w:rPr>
        <w:t>E. 3</w:t>
      </w:r>
    </w:p>
    <w:p>
      <w:r>
        <w:t>Il résulte des considérants qui précèdent que le recours doit être rejeté et la décision attaquée confirmée. L'autorité intimée, qui obtient gain de cause avec le concours d'un avocat, a droit à une indemnité à titre de dépens (cf. art. 55 al. 1 LPA-VD), dont il convient d'arrêter le montant à 3'000 fr. à la charge du recourant (cf. art. 55 al. 2 LPA-VD). Il en va de même du constructeur, qui a également droit à ce titre à une indemnité d'un montant identique. Compte tenu de l'issue du litige, un émolument de 2'500 fr. est par ailleurs mis à la charge du recourant, qui succombe (cf.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