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AC.2013.0431 vom 27. Januar 2015</w:t>
      </w:r>
    </w:p>
    <w:p>
      <w:r>
        <w:t>VD Tribunal cantonal, 2015-01-27, FR</w:t>
      </w:r>
    </w:p>
    <w:p>
      <w:r>
        <w:rPr>
          <w:b/>
        </w:rPr>
        <w:t xml:space="preserve">Quelle: </w:t>
      </w:r>
      <w:r>
        <w:t>https://mcp.opencaselaw.ch/entscheid/vd_omni_AC.2013.0431</w:t>
      </w:r>
    </w:p>
    <w:p>
      <w:r>
        <w:t>FR: VD_OMNI AC.2013.0431 du 27 janvier 2015</w:t>
      </w:r>
    </w:p>
    <w:p>
      <w:r>
        <w:t>IT: VD_OMNI AC.2013.0431 del 27 gennaio 2015</w:t>
      </w:r>
    </w:p>
    <w:p>
      <w:pPr>
        <w:pStyle w:val="Heading2"/>
      </w:pPr>
      <w:r>
        <w:t>Regeste</w:t>
      </w:r>
    </w:p>
    <w:p>
      <w:r>
        <w:t>LA FERME DE CLEMENTY SA, SAUVAITRE, JANSON, RICHARD, BISSELL, BUSINESS SCHOOL PRESS AG/Municipalité de Lausanne | Recours contre la décision de la Municipalité refusant la modification des aménagements extérieurs sur la parcelle des recourants. - Refus d'autoriser un 2e accès pour les véhicules au nord de de la parcelle, vu l'existence d'un tel accès au sud. Pas de motifs de s'écarter de l'appréciation de la Municipalité selon laquelle l'aménagement d'un accès de service, destiné à un usage occasionnel, en accès commun à plusieurs véhicules doit respecter les conditions de l'art. 32 al. 2 LRou. Examen de la nécessité du 2e accès en relation avec la demande de places de parc supplémentaires prévues au nord de la parcelle. La Commune de Lausanne est soumise au plan des mesures OPair 2005 de l'agglomération Lausanne-Morges visant à limiter les nuisances atmosphériques. Parmi les mesures envisagées par un tel plan, figurent les mesures relevant de l'aménagement du territoire (par exemple la définition de l'affectation de la zone), les mesures relevant de la protection de l'environnement (par exemple les prescriptions relatives aux installations de chauffage) ou encore les mesures mixtes, comme la limitation du nombre de places de parc. Lors de la délivrance du permis de construire, la Municipalité a tenu compte de ces normes. Le refus d'autoriser les aménagements litigieux n'est pas critiquable vu l'absence de besoins nouveaux et la présence d'intérêts publics prépondérants. - Refus d'abattage d'arbres pour l'aménagement de places de parc supplémentaires. Un des deux arbres protégés sur le plan communal a déjà été abattu sans autorisation. Dans la mesure où l'aménagement de places de stationnement supplémentaires n'apparaît pas répondre à un besoin, il convient, avec la Municipalité, de retenir que l'abattage de cet arbre, de même que de celui déjà abattu, ne se justifie pas au regard des art. 6 LPNMS et 15 RLPNMS. Rejet du recours.</w:t>
      </w:r>
    </w:p>
    <w:p>
      <w:pPr>
        <w:pStyle w:val="Heading2"/>
      </w:pPr>
      <w:r>
        <w:t>Erwägungen</w:t>
      </w:r>
    </w:p>
    <w:p>
      <w:r>
        <w:rPr>
          <w:b/>
        </w:rPr>
        <w:t>E. 1</w:t>
      </w:r>
    </w:p>
    <w:p>
      <w:r>
        <w:t>La Municipalité a refusé l'aménagement litigieux au motif que la parcelle serait déjà desservie par un accès pour véhicules par le garage souterrain. Les recourants contestent cette appréciation, dès lors que l'accès au Nord de la parcelle existe déjà. Se fondant sur l'art. 32 LRou, la Municipalité indique refuser de manière constante l'aménagement d'un accès privé, même existant, lorsque la parcelle est déjà desservie par un autre accès. a) L'art. 32 LRou qui régit les accès dispose ce qui suit, sous le titre "règle générale" : "1 L'aménagement d'un accès privé aux routes cantonales est soumis à autorisation du département; pour les routes communales, l'autorisation est délivrée par la municipalité.</w:t>
      </w:r>
    </w:p>
    <w:p>
      <w:r>
        <w:rPr>
          <w:b/>
        </w:rPr>
        <w:t>E. 2</w:t>
      </w:r>
    </w:p>
    <w:p>
      <w:r>
        <w:t>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w:t>
      </w:r>
    </w:p>
    <w:p>
      <w:r>
        <w:rPr>
          <w:b/>
        </w:rPr>
        <w:t>E. 3</w:t>
      </w:r>
    </w:p>
    <w:p>
      <w:r>
        <w:t>Les frais de l'ouvrage incombent au propriétaire intéressé.</w:t>
      </w:r>
    </w:p>
    <w:p>
      <w:r>
        <w:rPr>
          <w:b/>
        </w:rPr>
        <w:t>E. 4</w:t>
      </w:r>
    </w:p>
    <w:p>
      <w:r>
        <w:t>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Selon la jurisprudence, les conditions énumérées à l'art. 15 RLPNMS ne sont pas exhaustives; l'autorité doit tenir compte de l'ensemble des circonstances et mettre en balance l'intérêt public à la conservation de l'objet protégé avec celui de l'administré à sa suppression (arrêts AC.2012.0300 du 12 juin 2013 consid. 6b; AC.2012.0084 du 25 octobre 2012 consid. 1a; AC.2011.0160 du 27 février 2012 consid. 1a; AC.2010.0100 du 4 novembre 2010 consid. 1b). Pour statuer sur une demande d'autorisation d'abattage d’un arbre protégé, l'autorité communale doit ainsi procéder à une pesée complète des intérêts en présence et déterminer si l'intérêt public à la protection des arbres classés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 zones en vigueur (AC.2012.0362 du 29 août 2013, AC.2012.0084, AC.2011.0160 et AC.2010.0100 précités). b) En l'occurrence, la Municipalité considère que ces arbres sont protégés compte tenu de leur taille (diamètre de 25-30 cm pour l'érable subsistant). Comme il a pu être constaté en audience, cet érable, d'une hauteur de plusieurs mètres, est actuellement en bonne santé, sous réserve des travaux litigieux entrepris qui ont mis à nu ses racines. Dans la mesure où l'aménagement de places de stationnement supplémentaires n'apparaît pas répondre à un besoin (cf. consid. 1 ci-dessus), il convient, avec la Municipalité, de retenir que l'abattage de cet arbre, de même que de celui déjà abattu, ne se justifie pas au regard des art. 6 LPNMS et 15 RPNMS. Au demeurant, la représentante du service communal des parcs et domaines a indiqué en audience qu'il apparaissait possible d'aménager des places de stationnement tout en préservant cet arbre. Il n'apparaît pas en l'état que cette appréciation, émanant du service communal spécialisé, soit contredite. Ce grief est en conséquence rejeté. 3. Il résulte des considérants qui précèdent que le recours doit être rejeté et la décision attaquée confirmée. Vu l'issue du litige, il n'est pas nécessaire d'examiner les autres points litigieux, notamment le respect de l'exigence de disposer d'un espace minimal de verdure. Succombant, les recourants supporteront l'émolument de justice, ainsi que des dépens en faveur de la Municipalité, qui a procédé avec l'assistance d'un mandataire professionnel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