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AC.2013.0430 vom 5. Februar 2015</w:t>
      </w:r>
    </w:p>
    <w:p>
      <w:r>
        <w:t>VD Tribunal cantonal, 2015-02-05, FR</w:t>
      </w:r>
    </w:p>
    <w:p>
      <w:r>
        <w:rPr>
          <w:b/>
        </w:rPr>
        <w:t xml:space="preserve">Quelle: </w:t>
      </w:r>
      <w:r>
        <w:t>https://mcp.opencaselaw.ch/entscheid/vd_omni_AC.2013.0430</w:t>
      </w:r>
    </w:p>
    <w:p>
      <w:r>
        <w:t>FR: VD_OMNI AC.2013.0430 du 5 février 2015</w:t>
      </w:r>
    </w:p>
    <w:p>
      <w:r>
        <w:t>IT: VD_OMNI AC.2013.0430 del 5 febbraio 2015</w:t>
      </w:r>
    </w:p>
    <w:p>
      <w:pPr>
        <w:pStyle w:val="Heading2"/>
      </w:pPr>
      <w:r>
        <w:t>Regeste</w:t>
      </w:r>
    </w:p>
    <w:p>
      <w:r>
        <w:t>PIOL, PIOL, LOUYS, LOUYS, JACCARD, GRIN/Municipalité de Belmont-sur-Yverdon, LOUP, Direction générale de l'environnement, PALICA IMMOBILIERE SA | La parcelle destinée à la construction n'est pas sise en zone de dangers naturels, de sorte qu'une autorisation spéciale de l'ECA n'est pas nécessaire (c. 3). La parcelle est reliée à une canalisation unitaire, partant n'est pas équipée au sens de l'art. 19 LAT. La construction doit toutefois être autorisée sur ce point au vu des circonstances de l'espèce, en application du principe de la proportionnalité (c. 4). L'art. 48 du règlement communal permet d'implanter une construction souterraine à 2 m de la limite de propriété pour autant que le niveau fini de sa toiture aménagée ne dépasse pas de plus de 1,50 m le niveau du terrain voisin. La municipalité n'a pas outrepassé sa latitude d'interprétation en autorisant l'implantation d'une construction souterraine à moindre distance pour autant que la hauteur du niveau fini de sa toiture aménagée soit également réduite en proportion (c. 5). Admission très partielle du recours et réforme de la décision attaquée en ce sens que le permis de construire est subordonné à la condition que la hauteur des murs et de la couverture des puits des sauts-de-loup respectent les limites de l'art. 48 du règlement communal telles que définies au c. 5.</w:t>
      </w:r>
    </w:p>
    <w:p>
      <w:pPr>
        <w:pStyle w:val="Heading2"/>
      </w:pPr>
      <w:r>
        <w:t>Erwägungen</w:t>
      </w:r>
    </w:p>
    <w:p>
      <w:r>
        <w:rPr>
          <w:b/>
        </w:rPr>
        <w:t>E. 1</w:t>
      </w:r>
    </w:p>
    <w:p>
      <w:r>
        <w:t>Les recourants ont relevé en premier lieu qu’au moment où la décision attaquée - levant leurs oppositions - a été rendue, la synthèse CAMAC ne leur avait pas été communiquée et le permis de construire n’avait pas été délivré.</w:t>
      </w:r>
    </w:p>
    <w:p>
      <w:r>
        <w:rPr>
          <w:b/>
        </w:rPr>
        <w:t>E. 2</w:t>
      </w:r>
    </w:p>
    <w:p>
      <w:r>
        <w:t>a) La procédure d'enquête publique et de délivrance du permis de construire est régie par la loi vaudoise du 4 décembre 1985 sur l'aménagement du territoire et les constructions (LATC; RSV 700.11), ainsi que par le règlement du 19 septembre 1986 d'application de cette loi (RLATC; RSV 700.11.1). Il résulte de l'art. 114 al. 1 LATC qu'à l'issue du délai prévu par cette disposition, la municipalité est tenue de se déterminer en accordant ou en refusant le permis de construire. Il n'est pas prévu que la municipalité se borne à "lever l'opposition". En outre, selon l'art. 116 al. 1 LATC, les auteurs d'oppositions motivées ou d'observations sont avisés de la décision accordant ou refusant le permis, avec l'indication des dispositions légales et réglementaires invoquées, lorsque l'opposition est écartée. La jurisprudence considère que les art. 114 et 116 LATC ne sont pas respectés lorsque la municipalité se contente de déclarer qu'elle lève l'opposition sans délivrer le permis de construire ni préciser les éventuelles conditions ou charges dont il sera assorti (AC.2012.0385 du 11 octobre 2013; AC.2010.0353 du 23 décembre 2011; AC.2010.0162 du 16 août 2011; AC.2010.00135 du 15 avril 2011). Les exigences de notification sont similaires lorsque la demande de permis de construire implique l'octroi d'une autorisation spéciale cantonale (cf. art. 120 à 123 LATC). A cet égard, l'art. 123 al. 3 LATC dispose que les décisions cantonales comportant les délais et les voies de recours sont communiquées à la municipalité, qui les notifie selon les art. 114 et 116. Selon l'art. 75 RLATC, le permis ne peut être délivré par la municipalité avant l'octroi de l'autorisation spéciale cantonale (al. 1); le permis indique les autorisations spéciales délivrées par l'Etat et reprend les conditions particulières posées par celles-ci pour l'exécution de l'ouvrage (al. 2). En d'autres termes, les décisions cantonales ne sont pas communiquées directement aux opposants, mais à la municipalité, qui les notifie aux opposants en même temps qu'elle les avise de la décision accordant ou refusant le permis de construire, l'ensemble de ces décisions devant en principe faire l'objet d'une notification unique. L'avis à notifier aux opposants doit ainsi non seulement les informer de la décision prise par la municipalité sur la demande de permis de construire, mais également des décisions prises par les autorités cantonales concernées sur les autorisations spéciales requises par le projet (AC.2009.0091 du 17 février 2010 consid. 2b et les références citées; cf. art. 25a al. 2 let. d de la loi fédérale du 22 juin 1979 sur l'aménagement du territoire [LAT; RS 700]). b) En l'occurrence, lorsque la municipalité a statué le 13 septembre 2013, elle s'est limitée à lever les oppositions, sans délivrer le permis de construire. Elle ne s'est pas davantage référée à la synthèse CAMAC, qu'elle n'a pas communiquée aux parties. Ce faisant, elle n'a pas respecté la procédure prévue par les art. 114 al. 1, 116 al. 1 et 123 al. 3 LATC. En l'état, ces irrégularités ont été corrigées après le dépôt du recours, soit le 25 novembre 2013, avec la délivrance du permis de construire et l'envoi de ce document, ainsi que de la synthèse CAMAC, aux parties. Il conviendra toutefois d'en tenir compte dans la fixation des frais et dépens, les recourants ayant dû procéder pour obtenir satisfaction.</w:t>
      </w:r>
    </w:p>
    <w:p>
      <w:r>
        <w:rPr>
          <w:b/>
        </w:rPr>
        <w:t>E. 3</w:t>
      </w:r>
    </w:p>
    <w:p>
      <w:r>
        <w:t>Les recourants ont dénoncé ensuite l’absence d’une étude géologique avant la délivrance du permis de construire. a) L'art. 89 LATC prévoit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(al. 1). Les plans de constructions nécessitant des calculs de résistance doivent être établis par un ingénieur; il en est de même des plans de fondations et de toute autre partie de la construction lorsque celle-ci présente des dangers spéciaux (al. 2). En outre, l'art. 120 al. 1 let. b LATC soumet à une autorisation spéciale cantonale les constructions et les ouvrages nécessitant des mesures particulières de protection contre les dangers d'incendie et d'explosion, ainsi que contre les dommages causés par les forces de la nature. Tel est le cas notamment des constructions situées dans une zone de danger liée aux crues, aux mouvements de terrain ou aux avalanches ou sur des sols sensibles à l'activité sismique dans une zone de glissement (v. annexe 2 au RLATC). Il appartient alors à l'autorité cantonale de statuer sur les conditions de situation, de construction, d'installation et, éventuellement, sur les mesures de surveillance. Elle impose, s'il y a lieu, les mesures propres à assurer la salubrité et la sécurité, ainsi qu'à préserver l'environnement (v. art. 123 al. 1 et 2 LATC). Par ailleurs, la municipalité n'est tenue d'exiger un rapport géologique et géotechnique (qui ne sera en principe établi qu'après l'octroi du permis de construire; v. arrêts AC 2003.0202 du 28 décembre 2004 consid. 3c; AC 1998.0005 du 30 avril 1999 consid. 3c; AC 1997.0047 du 30 avril 1999 consid. 6; AC 1995.0157 du 24 décembre 1997 consid. 1c) que si des indices sérieux font penser que le terrain ne se prête pas à la construction ou qu'il impose des précautions spéciales (RDAF 1967 p. 95). Enfin, toujours selon la jurisprudence, les investigations et les travaux nécessaires à la réalisation d’une étude géotechnique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 d'affectation sont remplies et que les objections d'éventuels opposants ont été examinées. Il est contraire au principe de proportionnalité d'exiger au stade de la procédure de demande de permis de construire l'établissement d'un rapport géologique et géotechnique complet (v. arrêts AC.2012.0135 du 15 avril 2013 consid. 4; AC.2003.0216 du 23 juillet 2004; AC.1997.0047 du 30 avril 1999; AC.1995.0157 du 24 décembre 1997 consid. 1c; v. aussi l'arrêt AC.1992.0288 du 13 septembre 1993 consid. 6). b) En l’espèce, les recourants ont soutenu qu'une expertise géotechnique aurait dû être réalisée avant la délivrance du permis de construire, à tout le moins qu'elle devrait l'être avant le commencement des travaux. Au vu de l'humidité du terrain, il était en effet à craindre, selon eux, que les travaux d’excavation projetés n'entraînent l’inondation de leurs parcelles et la déstabilisation de leurs habitations. A teneur des cartes de danger existantes, le terrain destiné à la construction litigieuse ne se trouve pas en zone de dangers naturels, de sorte qu'une autorisation spéciale de l'ECA n'est pas nécessaire. Les recourants ne soutiennent du reste pas le contraire. Dans ces conditions, rien ne permet d'exiger qu'une expertise géotechnique soit menée avant l'octroi du permis de construire, de sorte que le recours est mal fondé sur ce point. Pour le surplus, il est établi que le permis de construire, délivré en cours de procédure, est subordonné à la condition que le suivi des travaux soit assuré par ABA-GEOL SA pour garantir la stabilité du terrain. A l’audience du 5 mai 2014, les constructeurs ont de surcroît accepté de demander à la société ABA-GEOL SA de procéder, avant travaux, à une investigation préalable; un constat des bâtiments voisins serait également établi. Par courrier du 20 octobre 2014, les constructeurs ont confirmé cet engagement, en précisant que tant le rapport géologique que le constat seraient mis à la disposition de toutes les parties. Il est pris acte de cet engagement. Dans ces conditions, le grief des recourants a perdu son objet à cet égard. Il n’y a dès lors pas lieu d’examiner plus avant si l'art. 89 LATC aurait imposé dans les circonstances de l'espèce, avant travaux, l'expertise géotechnique et le constat précités.</w:t>
      </w:r>
    </w:p>
    <w:p>
      <w:r>
        <w:rPr>
          <w:b/>
        </w:rPr>
        <w:t>E. 4</w:t>
      </w:r>
    </w:p>
    <w:p>
      <w:r>
        <w:t>Les recourants ont soutenu encore que la parcelle destinée à la construction litigieuse n'était pas équipée, faute de système d’évacuation des eaux en séparatif. a) Selon l'art. 22 al. 1 let. b LAT , l'autorisation de construire est délivrée si le terrain est équipé. En vertu de l'art. 19 LAT, u 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Les zones à bâtir sont équipées par la collectivité intéressée dans le délai prévu par le programme d'équipement. Le droit cantonal règle la participation financière des proprié taires fonciers (al. 2).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(al. 3). Selon l'art. 7 de la loi fédérale du 24 j anvier 1991 sur la protection des eaux entrée en vigueur le 1 er janvier 1992 (LEaux; RS 814.20), l es eaux polluées doivent être traité es (al. 1, 1 ère phrase). L 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(al. 2, 1 ère et 2 ème phrases). L'art. 12 al. 3 LEaux précise que le s eaux non polluées dont l'écoulement est permanent ne doivent pas être amenées, directement ou indirectement, à une station centrale d'épuration. L'art. 76 LEaux prévoit que l es cantons veillent à ce que, dans un délai de quinze ans au plus à compter de l'entrée en vigueur de la présente loi, les eaux non polluées à écoulement permanent (art. 12 al. 3) qui diminuent l'efficacité d'une situation d'épuration n'y soient plus amenées. Les art. 12a et 12b de la loi vaudoise du 13 décembre 1989 sur la police des eaux dépendant du domaine public (LPDP; RSV 721.01) précisent que le déversement d'eaux claires dans les cours d'eau ou leur infiltration dans le sous-sol est soumise à l'autorisation du département (art. 12a al. 1) et que les eaux claires provenant de l'étanchéification de surface doivent en principe être réinfiltrées dans le sous-sol et ne peuvent qu’exceptionnellement - soit pour des raisons hydrogéologiques impérieuses - être évacuées par le réseau des canalisations (art. 12b). L’art. 20 al. 2 de la loi vaudoise du 17 septembre 1974 sur la protection des eaux contre la pollution (LPEP; RSV 814.31) précise que les communes ont l’obligation d'organiser la réinfiltration, la rétention ou la collecte et l'évacuation des eaux claires provenant de leur territoire et qu’elles doivent pour ce faire se conformer aux dispositions de LPDP. Le principe de la séparation des eaux usées et des eaux claires existait déjà sous l'empire de la législation précédente, à savoir la loi fédérale du 8 octobre 1971 sur la protection des eaux contre la pollution (RO 1972 958 et les modifications subséquentes figurant au RO). La nouvelle loi de 1991 a en revanche modifié les règles en matière d'acheminement des eaux claires. La priorité est maintenant donnée à l'infiltration des eaux de ce type et ce n'est que si ce mode d'évacuation n'est pas praticable, au vu des conditions locales, que les eaux claires peuvent, avec l'autorisation du canton, être déversées dans les eaux superficielles (v. CDAP, arrêt AC.2007.0058 du 7 février 2008 consid. 3a). Selon l'arrêt 1C_244/2009 du 1 er février 2010 (consid. 2.3.2), la loi fédérale sur les eaux n'impose pas de délai pour la mise en séparatif des eaux claires dont l'écoulement n'est pas permanent. En effet, le délai de quinze ans institué par l'art. 76 LEaux ne vaut que pour les eaux non polluées à écoulement permanent (art. 12 al. 3 LEaux) qui diminuent l'efficacité de la station d'épuration. Le législateur a donc considéré que ce risque de surcharge des stations d'épuration justifiait d'imposer la mise en séparatif dans un délai déterminé pour les eaux à écoulement permanent. S'il ne l'a pas fait pour les eaux de ruissellement ou les eaux claires pluviales qui ne s'écoulent pas de manière permanente, on peut en déduire que l'intérêt public à la mise en séparatif a été jugé moins impérieux dans ce cas, même si ce système est souhaitable et qu'il devrait être adopté pour les nouvelles installations ou lors de travaux d'assainissement (Hans W. Stutz, Schweizerisches Abwasserrecht, 2008, p. 128 s.; Message du 29 avril 1987 concernant l'initiative populaire "pour la sauvegarde de nos eaux" et la révision de la loi fédérale sur la protection des eaux, FF 1987 II 1081, commentaire de l'art. 76 LEaux p. 1192). b) D'après l'arrêt précité 1C_244/2009 du 1 er février 2010 (consid. 2.2.1), de manière générale, il n'est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l'art. 19 LAT comporte des notions indéterminées, qui doivent s'interpréter en tenant compte du principe de la proportionnalité (cf. André Jomini, in Commentaire LAT, 2009, n. 11 ad art. 19 LAT et les références). Ainsi, même si les conditions des art. 19 et 22 LAT n'apparaissent pas réunies, le juge conserve un certain pouvoir d'appréciation et doit procéder à une pesée des intérêts en présence (cf. Alexander Ruch, in Commentaire LAT, 2009, Introduction n. 25; Bernhard Waldmann/Peter Hänni, Raumplanungsgesetz, 2006, n. 10 ad art. 19 LAT et les références). c) L’arrêt susmentionné 1C_244/2009 du 1 er février 2010 portait sur une construction prévue précisément dans la commune de Belmont-sur-Yverdon, ouvrage que les recourants contestaient faute pour les parcelles d'être raccordées à un système d'évacuation des eaux respectant les exigences légales, à savoir un système séparant les eaux claires des eaux usées. Dans ce cas, le Tribunal fédéral a considéré d’abord que la situation insatisfaisante qui prévalait actuellement apparaissait temporaire, dès lors que le plan d'évacuation des eaux en cours d'élaboration permettrait de la régulariser dans les prochaines années. Cette situation n’était au demeurant aucunement imputable au constructeur, celui-ci ayant prévu d'installer deux canalisations distinctes pour les eaux claires et les eaux usées, si bien qu'il respectait ses obligations en matière d'équipement (cf. art. 11 de l'ordonnance du 28 octobre 1998 sur la protection des eaux [OEaux; RS 814.201]). De plus, il n'apparaissait pas que l'écoulement non permanent des eaux claires émanant des constructions litigieuses dans la canalisation unitaire soit susceptible de compromettre le fonctionnement de la station d'épuration. Enfin, la loi fédérale sur les eaux n'imposait pas de délai pour la mise en séparatif des eaux claires dont l'écoulement n'était pas permanent. Dans ces conditions particulières, l'intérêt public lié à la protection des eaux n’apparaissait pas suffisamment important pour rendre les parcelles de l'intimé totalement inconstructibles, ce qui constituerait une atteinte significative à la garantie de la propriété. La délivrance du permis de construire devait ainsi être confirmée. d) En l'occurrence, les recourants ont fait valoir que le caractère temporaire de la situation prise en compte à Belmont-sur-Yverdon par le Tribunal fédéral dans l’arrêt du 1 er février 2010 ne pouvait plus être invoqué vu le temps écoulé. Ils ont soutenu en outre que le volume des eaux de surface à évacuer serait, selon toute probabilité, très important compte tenu des aménagements prévus sur la parcelle (notamment la rampe menant au garage souterrain, qui aurait un effet de drain pour toute la partie Sud de la parcelle 36). La municipalité a relevé pour sa part que les démarches visant à installer le régime de séparation des eaux claires et des eaux usées sur la commune avaient été divisées en trois étapes. La première était terminée, la deuxième était actuellement en cours et la troisième devrait être achevée d’ici 2016. L’aménagement du secteur concerné n’était pas prévu pour 2014 et son raccordement resterait ainsi unitaire jusqu’en 2016. La capacité (de la station d’épuration) était toutefois suffisante pour récupérer les eaux (claires) jusqu’à cette échéance. En outre, l’évacuation des eaux de ce secteur ne partait pas en direction du village, mais directement vers la station d’évacuation. Quant aux constructeurs, ils ont souligné à l’audience que la construction comporterait des canalisations en séparatif jusqu’à la limite de propriété, puis en unitaire, cela jusqu’à ce que toutes les phases de séparation précitées soient menées à terme. S’agissant plus particulièrement du garage, l’évacuation des eaux de drainage et des eaux de ruissellement atteignant le bas de la rampe pourrait se faire, si nécessaire, au moyen d’une pompe de relevage. En ce qui concernait les places de parc extérieures, il serait possible de poser des grilles-gazon pour limiter les débits d’eaux claires à évacuer. La démolition du bâtiment ECA 89b créerait de surcroît une surface non revêtue supplémentaire. e) Le tribunal constate que si quelque cinq années ont passé depuis l’arrêt précité 1C_244/2009 du 1 er février 2010, où le caractère temporaire du système unitaire avait largement pesé dans la balance des intérêts, la commune de Belmont-sur-Yverdon a agi avec diligence dans cet intervalle, puisqu’elle a adopté et commencé à exécuter une planification de mise en séparatif des canalisations sises sur son territoire, dont l’achèvement est prévu pour 2016. Dans ces circonstances, l’écoulement du temps ne permet pas de renverser l’appréciation opérée en 2010. Par ailleurs, dans la présente affaire également, les constructeurs ont satisfait à leur propre obligation d’équipement en prévoyant une mise en séparatif jusqu’à la limite de propriété. Enfin, compte tenu de la taille relativement modérée du projet en termes de création de surfaces imperméables, de l’annexe 8 du plan général d’évacuation des eaux (PGEE) indiquant que la capacité du collecteur concerné suffit à absorber les eaux de nouvelles constructions dans le secteur (cf. compte-rendu d’audience), du courrier d'ABA-GEOL du 23 août 2013 précisant que " la gestion des eaux de surface se fera en fonction des normes en vigueur, notamment la Directive (...) sur l'infiltration, la rétention et l'évacuation des eaux pluviales dans les agglomérations " (i.e. la directive VSA 2002 [Association suisse des professionnels de la protection des eaux]) et des déclarations des constructeurs à l’audience relatives à l’évacuation des eaux de drainage et des eaux de ruissellement, il n'apparaît pas que l'ouvrage pourrait entraîner un surcroît excessif d’eaux claires ou de drainage susceptibles de surcharger la station d’épuration ou de créer des inondations. Dans ces circonstances, la pesée des intérêts conduit à confirmer que le système unitaire d’évacuation des eaux subsistant à ce jour et jusqu’en 2016 dans le secteur litigieux ne permet pas de refuser le permis de construire.</w:t>
      </w:r>
    </w:p>
    <w:p>
      <w:r>
        <w:rPr>
          <w:b/>
        </w:rPr>
        <w:t>E. 5</w:t>
      </w:r>
    </w:p>
    <w:p>
      <w:r>
        <w:t>Enfin, les recourants ont affirmé que le garage souterrain ne respecterait pas la distance minimale à la limite de propriété. a) L'art. 48 RPGA, relatif aux dépendances souterraines, a la teneur suivante: " Sont autorisées comme dépendances souterraines les constructions enterrées qui ne servent ni à l'habitation, ni à l'exercice d'une activité professionnelle. Une telle dépendance est considérée comme souterraine si les 2/3 de son volume au moins se situent en dessous du terrain naturel, si une face au plus est entièrement visible une fois le terrain aménagé, et si sa toiture est accessible et aménagée en surface de jeu ou de verdure. Ces constructions peuvent être implantées en limite de propriété voisine pour autant que le niveau fini de la toiture aménagée ne dépasse pas le niveau du terrain de cette propriété. Elles peuvent être implantées jusqu'à 2 mètres de la limite de la propriété voisine pour autant que le niveau fini de la toiture aménagée ne dépasse pas de plus de 1,50 mètre le niveau du terrain de cette propriété. Le raccord entre ces deux niveaux doit en principe être réalisé par un talus recouvert de verdure. " b) Les recourants font valoir que le garage souterrain entraîne la création d’un remblai (i.e. la toiture aménagée du garage) à moins de 2 m de la limite de leurs parcelles 32 et 34, remblai dont le niveau fini dépasse celui de leurs parcelles. A leurs yeux, l’alinéa 4 de la disposition précitée n'est dès lors pas respecté. L'autorité intimée se prévaut d’une interprétation souple de l’art. 48 RPGA, sous la forme d’une règle de trois, qui lui permet d’implanter une dépendance souterraine à moindre distance pour autant que la hauteur du niveau fini de sa toiture aménagée soit également réduite en proportion. Elle en veut pour preuve que le texte légal parle bien d'un raccord entre les deux niveaux par un "talus", soit par une pente continue. De leur côté, les constructeurs affirment que le garage sera édifié à 1 m de la limite, de sorte que la hauteur de la toiture aménagée de cette dépendance peut dépasser de 0,75 m la hauteur du terrain naturel. Le projet prévoyant un dépassement de 0,7 m, avec un raccord en pente douce sur le terrain, il s’avère conforme au règlement. c) A lire l'art. 48 RPGA, lorsqu'une construction souterraine ne dépasse pas, à son niveau fini, le niveau du terrain de la propriété voisine, elle peut être aménagée en limite de propriété (al. 3). Lorsqu'elle dépasse de 1,50 m, à son niveau fini, le niveau du terrain de la propriété voisine, elle doit être implantée à 2 m au moins de la limite (al. 4). L’interprétation retenue par la municipalité des al. 3 et 4 de l’art. 48 RPGA, consistant à calculer, suivant une règle de trois, la hauteur maximale du niveau fini de la toiture de constructions souterraines selon la distance à la limite, n'outrepasse pas sa latitude d’appréciation de son règlement. Il peut ainsi être admis, par exemple, que le niveau fini de la toiture d'une construction souterraine implantée à 1 m de la limite (soit à la moitié de la distance minimale) peut dépasser de 0,75 m (soit de la moitié de la hauteur maximale) le niveau du terrain de la propriété voisine (100 x 150 / 200). d) aa) En l'espèce, il découle des plans mis à l'enquête que le garage souterrain - du moins son mur principal, cf. let. dd infra - est implanté à 1 m de la limite d'avec les parcelles voisines 32 et 34. Conformément à l'interprétation retenue ci-dessus, le niveau fini de sa toiture ne peut dépasser de 75 cm le niveau du terrain voisin. Force est toutefois de constater que si les plans mentionnent le muret mitoyen implanté à cheval sur ladite limite, ils n'indiquent pas le niveau du terrain voisin de manière limpide, de sorte que cette cote doit être appréciée par d'autres moyens. A cet égard, il a été constaté à l'audience que la couronne du muret surplombe la parcelle 36 d’environ 10 cm et que les parcelles 32 et 34 se situent en contrebas de la parcelle 36, le dénivelé variant entre 10 et 30 cm selon le terrain. En d'autres termes, la couronne du muret domine les parcelles 32 et 34 d'environ 20 à 40 cm. bb) A lire les plans, il appert que la couronne du muret est inférieure au niveau fini de la toiture du garage d'environ</w:t>
      </w:r>
    </w:p>
    <w:p>
      <w:r>
        <w:rPr>
          <w:b/>
        </w:rPr>
        <w:t>E. 10</w:t>
      </w:r>
    </w:p>
    <w:p>
      <w:r>
        <w:t>cm. En définitive, le niveau fini de la toiture du garage surplombe ainsi le niveau des parcelles 32 et 34 de 30 à 50 cm, ce qui respecte largement la hauteur maximale retenue ci-dessus de 75 cm. Par ailleurs, les plans prévoient de raccorder le niveau fini de la toiture du garage aux parcelles voisines par un talus en pente. Certes, le raccord est projeté à 10 cm sous le muret, et non au niveau - inférieur - des parcelles voisines 32 et 34, mais ce choix ne prête pas le flanc à la critique, compte tenu du fait qu'il correspond à l'état existant. Sous cet angle, le grief tenant à la violation de l'art. 48 RPGA doit par conséquent être rejeté. cc) Cela étant, les plans révèlent également que le garage souterrain comporte, toujours du côté des parcelles 32 et 34 des recourants, cinq sauts-de-loup s'ouvrant sur autant de puits débordant du mur principal du garage. De forme rectangulaire, ces puits atteignent 80 cm de large, de sorte qu'ils se situent à 20 cm seulement de la limite de propriété (1 m – 80 cm). Selon la règle de trois adoptée par la municipalité en application de l'art. 48 RPGA, leur mur extérieur ne devrait pas dépasser de plus de 15 cm (20 x 150 / 200) le niveau des parcelles voisines. Or, toujours à lire les plans (notamment l'élévation Sud-Ouest), la hauteur de ce mur, qui dépasse en surface, est égale au niveau fini de la toiture du garage et, partant, surplombe le niveau des parcelles voisines de 30 à 50 cm. En d'autres termes, les cinq puits, qui seront couverts en surface (au moins par une grille), émergent excessivement du talus prévu. Sous cet aspect, force est dès lors de constater que le projet n'est pas conforme à l'art. 48 RPGA. Le recours doit par conséquent être très partiellement admis sur ce point. Par économie de procédure, il conviendra de réformer la décision attaquée en ce sens que le permis de construire est subordonné à la condition que la hauteur des murs et de la couverture des puits des cinq sauts-de-loup du garage souterrain respecte les limites de l'art. 48 RPGA telles que définies au consid. 5c supra. 6. Les considérants qui précèdent conduisent à l'admission très partielle du recours dans la mesure où il n'est pas sans objet ainsi qu’à la réforme de la décision attaquée au sens du consid. 5d/cc, le prononcé querellé devant être confirmé pour le surplus. Au vu des circonstances, les frais judiciaires doivent être répartis entre les recourants (qui succombent pour l'essentiel), les constructeurs (qui ont acquiescé aux conclusions des recourants relatives à une investigation préalable du terrain, ont présenté un dossier lacunaire quant au niveau du terrain voisin et succombent partiellement sous l'angle de l'art. 48 RPGA) et la municipalité (qui n’a pas transmis la synthèse CAMAC ni délivré le permis de construire en temps utile), à part égale entre eux. Des dépens réduits sont dus à la municipalité à charge des recourants, aux constructeurs à charge des recourants également, et aux recourants à charge de la municipalité et des constructeurs. Ces dépens réduits sont partiellement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