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AC.2013.0415 vom 2. Februar 2016</w:t>
      </w:r>
    </w:p>
    <w:p>
      <w:r>
        <w:t>VD Tribunal cantonal, 2016-02-02, FR</w:t>
      </w:r>
    </w:p>
    <w:p>
      <w:r>
        <w:rPr>
          <w:b/>
        </w:rPr>
        <w:t xml:space="preserve">Quelle: </w:t>
      </w:r>
      <w:r>
        <w:t>https://mcp.opencaselaw.ch/entscheid/vd_omni_AC.2013.0415</w:t>
      </w:r>
    </w:p>
    <w:p>
      <w:r>
        <w:t>FR: VD_OMNI AC.2013.0415 du 2 février 2016</w:t>
      </w:r>
    </w:p>
    <w:p>
      <w:r>
        <w:t>IT: VD_OMNI AC.2013.0415 del 2 febbraio 2016</w:t>
      </w:r>
    </w:p>
    <w:p>
      <w:pPr>
        <w:pStyle w:val="Heading2"/>
      </w:pPr>
      <w:r>
        <w:t>Regeste</w:t>
      </w:r>
    </w:p>
    <w:p>
      <w:r>
        <w:t>DE MEYER, DE MEYER MORIN, DE MEYER SURIAN, DE MEYER VISSER, GANZ, HEIZ, LOCHER, PITTIER, TUREL/Conseil communal d'Ollon, Département de l'intérieur | Plan partiel d'affectation (PPA) qui prévoit que l'essentiel d'un secteur serait déclassé en zone agricole et que seules une quarantaine de parcelles resteraient colloquées en zone constructible. Le tribunal constate que la commune est fondée à réduire sa zone à bâtir qui est manifestement surdimensionnée: la surface de celle-ci est 14,8 fois plus grande que ce qu'elle devrait être en application du Plan directeur cantonal (PDCn). Par ailleurs, c'est sur la base de critères objectifs que la commune a effectué la délimitation entre les parcelles qui seront déclassées en zone agricole et celles qui resteront constructibles: celles-ci, à part quelques exceptions, sont toutes des parcelles "largement bâties", et, dès lors qu'elles sont regroupées dans un secteur circonscrit en amont et en aval de la route d'accès, elles constituent un ensemble bâti compact cohérent. En outre, le secteur n'est pas équipé: la route d'accès (sur laquelle il n'est pas possible de croiser) ne constitue pas une voie d'accès adaptée en cas de développement des parcelles des recourants, et l'infiltration des eaux claires (actuellement collectées en unitaire) n'est pas possible pour des raisons géologiques (au vu de la grande concentration de gypse dans le sous-sol, il existe un risque élevé de formation de dolines en cas d'infiltration d'eaux claires dans le sol) et il n'y a pas de collecteurs d'eaux claires à proximité.</w:t>
      </w:r>
    </w:p>
    <w:p>
      <w:pPr>
        <w:pStyle w:val="Heading2"/>
      </w:pPr>
      <w:r>
        <w:t>Erwägungen</w:t>
      </w:r>
    </w:p>
    <w:p>
      <w:r>
        <w:rPr>
          <w:b/>
        </w:rPr>
        <w:t>E. 1</w:t>
      </w:r>
    </w:p>
    <w:p>
      <w:r>
        <w:t>Selon l'art. 75 de la Constitution fédérale de la Confédération suisse du 18 avril 1999 (Cst.; RS 101), les cantons doivent établir des plans d'aménagement en vue d'assurer une utilisation judicieuse et mesurée du sol ainsi qu'une occupation rationnelle du territoire. Les buts sont exposés à l'art. 1 er LAT, qui, dans sa teneur jusqu'au 30 avril 2014 applicable en l'espèce (la décision du Département de l'intérieur d’approuver préalablement le PPA "Les Ecovets" datant du 26 août 2013), prévoit que la Confédération, les cantons et les communes doivent veiller à assurer une utilisation mesurée du sol et qu'ils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w:t>
      </w:r>
    </w:p>
    <w:p>
      <w:r>
        <w:rPr>
          <w:b/>
        </w:rPr>
        <w:t>E. 1.3</w:t>
      </w:r>
    </w:p>
    <w:p>
      <w:r>
        <w:t>p. 268; 119 Ia 362 consid. 4a p. 367; Tschannen, op. cit., N.15-24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b)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c) Le Plan directeur cantonal (PDCn), entré en vigueur le 1 er août 2008, a fait l'objet de diverses mises à jour. Le Conseil d'Etat a notamment adopté une deuxième adaptation du PDCn, entrée en vigueur le 15 juin 2012 (une adaptation ponctuelle 2bis est encore entrée en vigueur le 15 juin 2013). L’un des objectifs principaux du PDCn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d) La mesure A12 "Zones à bâtir manifestement surdimensionnées" (PDCn 2012, p. 54) prévoit ce qui suit: "Le Canton incite les communes dont les réserves dépassent au moins deux fois les besoins pour les 15 années suivant l’entrée en vigueur du Plan directeur cantonal à réviser leur Plan général d'affectation (PGA). La définition des besoins se fait au sens des alinéas 2 et</w:t>
      </w:r>
    </w:p>
    <w:p>
      <w:r>
        <w:rPr>
          <w:b/>
        </w:rPr>
        <w:t>E. 2</w:t>
      </w:r>
    </w:p>
    <w:p>
      <w:r>
        <w:t>L’art. 15 LAT (dans sa teneur jusqu'au 30 avril 2014 applicable en l'espèce) dispose ce qui suit: "Art. 15 Zones à bâtir Les zones à bâtir comprennent les terrains propres à la construction qui: a. sont déjà largement bâtis, ou b. seront probablement nécessaires à la construction dans les quinze ans à venir et seront équipés dans ce laps de temps." Une zone à bâtir est surdimensionnée lorsque sa surface excède ce qui est probablement nécessaire à la construction dans les quinze années à venir, au sens de l'art. 15 let. b LAT (ATF 103 Ia 252, consid. 2b, JdT 1979 I 280). Tel est le cas lorsque les réserves existantes permettraient de tripler voire de quintupler l'effectif de la population locale (ATF 119 Ib consid. 3a, JdT 1995 I 399; Zen-Ruffinen/Guy-Ecabert, p. 153). Il convient de préciser que l'art. 15 al. 2 LAT, dans sa nouvelle teneur applicable depuis le 1 er mai 2014, est libellé comme suit: "Les zones à bâtir surdimensionnées doivent être réduites."</w:t>
      </w:r>
    </w:p>
    <w:p>
      <w:r>
        <w:rPr>
          <w:b/>
        </w:rPr>
        <w:t>E. 3</w:t>
      </w:r>
    </w:p>
    <w:p>
      <w:r>
        <w:t>par le déclassement des terrains: ‐ non équipés; ‐ non construits depuis plus de 15 ans; ‐ qui ne font pas l'objet d'un projet à court terme; ‐ situés loin des dessertes en transports publics; ‐ situés loin des centres bâtis. Il est renoncé à un redimensionnement lorsque celui-ci est de faible importance et entraînerait des frais disproportionnés pour la commune. L'optimisation des réserves s'effectue par la procédure habituelle de révision du plan général d'affectation par les communes. Les communes disposent de dix ans pour mener cette procédure, sauf celles qui ont révisé leur plan général d’affectation sur la base des Lignes directrices 2002, qui disposent d'un délai de 15 ans." Les alinéas 2 et 3 de la mesure A11 "Légalisation des zones à bâtir" (PDCn 2012, p. 51) prévoient ce qui suit: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Selon le "Guide d'application des mesures A11 et A12" (p. 10-11), validé par le Conseil d'Etat le 26 janvier 2011, la mesure A11 prescrit le réexamen par les communes de leur zone à bâtir pour vérifier si elles sont conformes au PDCn. D'ici au 31 juillet 2018, chaque commune devra notamment vérifier que sa capacité de développement est à la mesure de ses besoins (croissance démographique) programmée d'ici 2023 ou, sinon, adapter sa zone à bâtir (par extension ou réduction) (AC.2012.0093 du 11 mars 2013 consid. 1d). La mesure A12, quant à elle, incite les communes à réviser leur plan général d’affectation (PGA) si les capacités d’accueil dépassent le double des besoins pour les quinze années suivant l’entrée en vigueur du Plan directeur cantonal, soit à l’horizon 2023 (Guide d'application des mesures A11 et A12, p. 20).</w:t>
      </w:r>
    </w:p>
    <w:p>
      <w:r>
        <w:rPr>
          <w:b/>
        </w:rPr>
        <w:t>E. 4</w:t>
      </w:r>
    </w:p>
    <w:p>
      <w:r>
        <w:t>a) En l'espèce, il ressort du formulaire de synthèse intitulé "F3 Bilan du dimensionnement de la zone à bâtir" établi le 25 novembre 2011 par le Service du développement territorial - qui constitue la première estimation établie par celui-ci en application de la mesure A11 du PDCn - que, sur la commune d'Ollon, la zone à bâtir hors du périmètre de centre est manifestement surdimensionnée en regard des besoins dans les quinze ans à venir: alors que la surface de zones à bâtir pourrait accueillir 6'536 habitants, les besoins sont de seulement 441 habitants (soit 15% de la population résidant hors centre au 31 décembre 2008 [2'939 habitants]). La surface de zones à bâtir est 14,8 (6'536 : 441) fois supérieure à ce qu'elle devrait être conformément au PDCn. On relève en outre que, conformément à la mesure A11 du PDCn, cette surface de zones à bâtir estimée par le Service du développement territorial ne comprend pas les parcelles présentant un potentiel à bâtir sises dans le périmètre de centre et que, si tel était le cas (ce qui devrait du reste se faire sous l'égide de l'art. 15 LAT dans sa teneur depuis le 1 er mai 2014), le facteur de surdimensionnement serait encore plus élevé puisque les terrains qui ne sont que partiellement bâtis ou sont non bâtis sont nombreux dans le périmètre de centre, comme cela ressort du document intitulé "Estimation des réserves en zone à bâtir à vocation d'habitation et mixte" également établi par le Service du développement territorial (cf. ci-dessous). La Commune d'Ollon est dès lors fondée à réduire sa zone à bâtir, ce que les recourants ne contestent du reste pas. b) Figure effectivement également dans le dossier un document intitulé "Estimation des réserves en zone à bâtir à vocation d'habitation et mixte" établi le 25 novembre 2011 par le Service du développement territorial, qui consiste en des cartes de chaque portion du territoire de la commune d'Ollon sur lesquelles les parcelles sont classées en trois catégories: "non bâties", "largement bâties" ou "partiellement bâties" (ces dernières étant des parcelles bâties sur lesquelles ont néanmoins été déterminées des "réserves" au sens de la mesure A12 du PDCn). Le PPA "Les Ecovets" a établi la délimitation entre les parcelles qui restent en zone à bâtir et les parcelles qui sont déclassées en zone agricole en reprenant quasi (cf. les exceptions ci-dessous) la distinction qui ressort de ce document du Service du développement territorial entre les parcelles "largement bâties" (qui restent en zone à bâtir) et celles "partiellement bâties" et "non bâties" (qui sont déclassées en zone agricole). Il s'agit du reste de la même délimitation que celle établie lors de la délimitation de la zone réservée, qui l'avait été sur la base, notamment, du caractère peu bâti ou pas bâti du terrain, comme l'explique le Service du développement territorial dans sa réponse (cf. lettre J de la partie "Faits", considérant 3.7 de la réponse du Service du développement territorial). Les seules exceptions sont quelques parcelles qui sont non bâties ou partiellement bâties mais qui, dès lors qu'elles sont géographiquement "prises" dans la zone compacte constituée par les parcelles largement bâties, sont néanmoins colloquées en zone à bâtir par le plan. Au surplus, les parcelles colloquées en zone à bâtir par le plan, dès lors qu'elles sont toutes de surface moyenne, qu'elles comportent toutes (mises à part les quelques exceptions précitées) un chalet et qu'elles sont regroupées dans un secteur circonscrit en amont et en aval de la route des Ecovets, constituent un ensemble bâti compact cohérent. Il ressort de ce qui précède que la Commune a effectué la délimitation sur la base de critères objectifs et que celle-ci n'apparaît pas entachée d'arbitraire.</w:t>
      </w:r>
    </w:p>
    <w:p>
      <w:r>
        <w:rPr>
          <w:b/>
        </w:rPr>
        <w:t>E. 5</w:t>
      </w:r>
    </w:p>
    <w:p>
      <w:r>
        <w:t>Les recourants invoquent le principe de la stabilité des plans et font valoir que, faute de circonstances nouvelles, les conditions pour la révision du plan d'affectation ne sont pas réunies. a ) En vertu de l’art. 21 al. 2 LAT, les plans d’affectation feront l'objet des adaptations nécessaires lorsque les circonstances se seront sensiblement modifiées. La modification d’un plan en vigueur suppose donc que les circonstances aient changé depuis son adoption, que ce changement porte sur des éléments déterminants pour la planification et qu’il soit important au point qu’une adaptation du plan paraisse nécessaire. Le droit cantonal vaudois connaît une règle similaire à l’art. 63 LATC, qui prévoit que les plans d’affectation sont réexaminés et adaptés lorsque les circonstances ont sensiblement changé. L’art. 21 al. 2 LAT concrétise le principe de la sécurité juridique en garantissant une certaine stabilité des plans. Il s'ensuit qu'une adaptation requiert une pesée globale des intérêts publics et privés en présence .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En règle générale, plus un plan d'affectation est récent, plus on peut compter sur sa stabilité et plus les exigences permettant une modification seront élevées (cf. ATF 132 II 408 consid. 4.2 , ATF 128 I 190 consid. 4.2, ATF 120 Ia 227 consid. 2c; arrêt CDAP AC.2013.0165 du 15 mai 2014). b) En l'espèce, le PPA ECVA date de plus de trente ans (1985). Par ailleurs, le PDCn, entré en vigueur le 1 er août 2008, pose des exigences de redimensionnement de la zone à bâtir. Il existe donc un intérêt prépondérant à adapter la planification de sorte que le développement du secteur des Ecovets puisse s'effectuer de manière rationnelle et en accord avec la planification directrice cantonale. Ce grief doit par conséquent être rejeté.</w:t>
      </w:r>
    </w:p>
    <w:p>
      <w:r>
        <w:rPr>
          <w:b/>
        </w:rPr>
        <w:t>E. 6</w:t>
      </w:r>
    </w:p>
    <w:p>
      <w:r>
        <w:t>Les recourants font valoir que l'initiative Weber restreint le nombre de résidences secondaires mais n'impose pas de rendre des zones à bâtir inconstructibles. Or, la décision de rendre inconstructible certaines parcelles n'est pas fondée sur la Lex Weber, mais sur le PDCn. Si la Lex Weber a dû être prise en compte, c'est dans le sens que l'a expliqué le Service du développement territorial dans sa réponse: "La zone de chalet est principalement constituée de résidences secondaires. L’initiative Weber a gelé la construction de résidences secondaires dans la station de Villars. La zone de chalet couvrait aussi, et principalement, les besoins en résidences secondaires. Le gel des résidences secondaires a modifié les besoins relatifs à la zone à bâtir, au sens de l’art. 15 LAT."</w:t>
      </w:r>
    </w:p>
    <w:p>
      <w:r>
        <w:rPr>
          <w:b/>
        </w:rPr>
        <w:t>E. 7</w:t>
      </w:r>
    </w:p>
    <w:p>
      <w:r>
        <w:t>Les recourants contestent que la zone de dangers naturels moyens empêche toute construction. Il est vrai que la construction dans le secteur des Ecovets n'est pas impossible. Le Service du développement territorial l'a du reste admis, relevant dans sa réponse que les dangers naturels ne constituent qu'un paramètre supplémentaire qui a contribué à reconsidérer l’aptitude des terrains à la construction, et que ce paramètre se combine avec ceux de l’équipement, l’éloignement, les besoins en zone à bâtir et la configuration des lieux en vue de l’application de la mesure A12 du PDCn.</w:t>
      </w:r>
    </w:p>
    <w:p>
      <w:r>
        <w:rPr>
          <w:b/>
        </w:rPr>
        <w:t>E. 8</w:t>
      </w:r>
    </w:p>
    <w:p>
      <w:r>
        <w:t>Les recourants contestent les difficultés d'équipements invoquées. a)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b) L'art. 19 LAT que les constructions doivent être correctement reliées aux réseaux d’installations publiques, de façon à ce qu’elles soient "desservi[es] de manière adaptée à l’utilisation prévue". Selon l’art. 7 al. 2 de la loi fédérale du 24 janvier 1991 sur la protection des eaux (LEaux; RS 814.20), les eaux non polluées doivent être évacuées par infiltration conformément aux règlements cantonaux. Si les conditions locales ne permettent pas l’infiltration, ces eaux peuvent, avec l’autorisation du canton, être déversées dans des eaux superficielles (voir aussi art. 12a et 12b dans sa teneur adoptée le 13 décembre 1989, de la loi vaudoise du 3 décembre 1957 sur la police des eaux dépendant du domaine public [LPDP; RSV 721.01]). L’art. 12 al. 3 LEaux prévoit que les eaux non polluées dont l’écoulement est permanent ne doivent pas être amenées, directement ou indirectement, à une station centrale d’épuration. L’autorité cantonale peut autoriser des exceptions.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c) Selon la jurisprudence, un propriétaire ne possède ni le droit à ce que son bien-fonds reste dans la zone à bâtir, ni celui d'exiger qu'il soit affecté à la zone à bâtir, même si ce dernier est déjà équipé ou pourrait l'être (ATF 122 II 332 consid. 6a, JdT 1997 I 438). d) Selon le guide d’application des mesures A11 et A12 validé par le Conseil d’Etat le 26 janvier 2011 (p. 21), le fait qu'une parcelle soit mal desservie en services et en équipements constitue un des critères à prendre en compte pour la déclasser. e) En l'espèce, il ressort des constatations du tribunal lors de l'inspection locale que la route des Ecovets (sur laquelle il n'est pas possible de croiser) ne constitue pas une voies d'accès adaptées en cas de développement des parcelles des recourants. S'agissant de l'équipement pour les eaux claires, il ressort des déclarations des parties lors de l'audience du 29 septembre 2015 qu'actuellement, dans le secteur des Ecovets, les eaux claires des maisons existantes ainsi que celles en construction sont collectées en unitaire. Dès lors que l'infiltration des eaux claires n'est pas possible pour des raisons géologiques (au vu de la grande concentration de gypse dans le sous-sol, il existe un risque élevé de formation de dolines en cas d'infiltration d'eaux claires dans le sol) et qu'il n'y a pas de collecteurs d'eaux claires à proximité (puisqu'il est à Chesières), il convient de constater que le secteur n'est pas équipé. Quant à l'argument des recourants selon lequel il serait possible d'équiper, il n'est pas pertinent dans la mesure où c'est l'état actuel de l'équipement qui est déterminant (et non celui dans lequel il pourrait être si la collectivité publique procédait à des investissements). Ce grief doit par conséquent être rejeté.</w:t>
      </w:r>
    </w:p>
    <w:p>
      <w:r>
        <w:rPr>
          <w:b/>
        </w:rPr>
        <w:t>E. 9</w:t>
      </w:r>
    </w:p>
    <w:p>
      <w:r>
        <w:t>Les recourants font valoir que le plan directeur communal devrait être adopté avant toute modification du plan d'affectation. Il ressort du dossier que dans l'ensemble de la commune d'Ollon, la zone à bâtir est surdimensionnée, et que ce surdimensionnement est plus important, proportionnellement aux autres localités de la commune, sur le secteur de Villars-Chesières, enfin qu'il est encore plus important sur celui des Ecovets (où les besoins démographiques futurs sont quasi nuls, dès lors qu'y sont construites pratiquement que des résidences secondaires). Ainsi, si la commune aurait peut-être pu attendre que la procédure de plan directeur communal actuellement en cours arrive à chef, on ne peut toutefois que constater que cela n'aurait rien changé. En effet, la commune doit de toute façon procéder à un dézonage massif sur l'entier de son territoire (le représentant du Service du développement territorial a souligné, lors de l'audience du 29 septembre 2015, qu'au vu du surdimensionnement de la commune, le fait de dézoner entièrement ce qui est en-dehors du territoire largement bâti de la commune ne suffira même pas); le fait qu'elle ait commencé à le faire sur le secteur des Ecovets, qui présente en outre d'autres caractéristiques à prendre en compte selon la mesure A12 du PDCn, dont celui du fort éloignement par rapport aux centres bâtis et aux dessertes en transports publics, n'apparaît pas arbitraire. Ce grief doit être rejeté.</w:t>
      </w:r>
    </w:p>
    <w:p>
      <w:r>
        <w:rPr>
          <w:b/>
        </w:rPr>
        <w:t>E. 10</w:t>
      </w:r>
    </w:p>
    <w:p>
      <w:r>
        <w:t>Il résulte de ce qui précède que c'est à juste titre que le conseil communal et le Département de l'intérieur ont refusé de colloquer les parcelles des recourants en zone d'habitation de très faible densité, et qu'ils ont maintenu la collocation de celles-ci en zone agricole, telle que prévue par le PPA "Les Ecovets". Vu ce qui précède, le recours est rejeté aux frais des recourants, qui doivent des dépens à la Commune d'Ollon.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