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AC.2013.0414 vom 2. Februar 2016</w:t>
      </w:r>
    </w:p>
    <w:p>
      <w:r>
        <w:t>VD Tribunal cantonal, 2016-02-02, FR</w:t>
      </w:r>
    </w:p>
    <w:p>
      <w:r>
        <w:rPr>
          <w:b/>
        </w:rPr>
        <w:t xml:space="preserve">Quelle: </w:t>
      </w:r>
      <w:r>
        <w:t>https://mcp.opencaselaw.ch/entscheid/vd_omni_AC.2013.0414</w:t>
      </w:r>
    </w:p>
    <w:p>
      <w:r>
        <w:t>FR: VD_OMNI AC.2013.0414 du 2 février 2016</w:t>
      </w:r>
    </w:p>
    <w:p>
      <w:r>
        <w:t>IT: VD_OMNI AC.2013.0414 del 2 febbraio 2016</w:t>
      </w:r>
    </w:p>
    <w:p>
      <w:pPr>
        <w:pStyle w:val="Heading2"/>
      </w:pPr>
      <w:r>
        <w:t>Regeste</w:t>
      </w:r>
    </w:p>
    <w:p>
      <w:r>
        <w:t>ECOVEST SA, ANDERSEN-THYS, DEBONNAIRE-THYS, GUEPIN-THYS, WYNAENDTS-THYS/Conseil communal d'Ollon, Département de l'intérieur | Plan partiel d'affectation (PPA) qui prévoit que l'essentiel d'un secteur serait déclassé en zone agricole et que seules une quarantaine de parcelles resteraient colloquées en zone constructible. Le tribunal constate que la commune est fondée à réduire sa zone à bâtir qui est manifestement surdimensionnée: la surface de celle-ci est 14,8 fois plus grande que ce qu'elle devrait être en application du Plan directeur cantonal (PDCn). Par ailleurs, c'est sur la base de critères objectifs que la commune a effectué la délimitation entre les parcelles qui seront déclassées en zone agricole et celles qui resteront constructibles: celles-ci, à part quelques exceptions, sont toutes des parcelles "largement bâties", et, dès lors qu'elles sont regroupées dans un secteur circonscrit en amont et en aval de la route d'accès, elles constituent un ensemble bâti compact cohérent. En outre, le secteur n'est pas équipé: la route d'accès (sur laquelle il n'est pas possible de croiser) et le chemin qui dessert les trois parcelles des recourantes (qui est un chemin en terre) ne constituent pas des voies d'accès adaptées en cas de développement desdites parcelles, et l'infiltration des eaux claires (actuellement collectées en unitaire) n'est pas possible pour des raisons géologiques (au vu de la grande concentration de gypse dans le sous-sol, il existe un risque élevé de formation de dolines en cas d'infiltration d'eaux claires dans le sol) et il n'y a pas de collecteurs d'eaux claires à proximité.</w:t>
      </w:r>
    </w:p>
    <w:p>
      <w:pPr>
        <w:pStyle w:val="Heading2"/>
      </w:pPr>
      <w:r>
        <w:t>Erwägungen</w:t>
      </w:r>
    </w:p>
    <w:p>
      <w:r>
        <w:rPr>
          <w:b/>
        </w:rPr>
        <w:t>E. 1</w:t>
      </w:r>
    </w:p>
    <w:p>
      <w:r>
        <w:t>Selon l'art. 75 de la Constitution fédérale de la Confédération suisse du 18 avril 1999 (Cst.; RS 101), les cantons doivent établir des plans d'aménagement en vue d'assurer une utilisation judicieuse et mesurée du sol ainsi qu'une occupation rationnelle du territoire. Les buts sont exposés à l'art. 1 er LAT, qui, dans sa teneur jusqu'au 30 avril 2014 applicable en l'espèce (la décision du Département de l'intérieur d’approuver préalablement le PPA "Les Ecovets" datant du 26 août 2013), prévoit que la Confédération, les cantons et les communes doivent veiller à assurer une utilisation mesurée du sol et qu'ils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créer et maintenir un milieu bâti harmonieusement aménagé et favorable à l'habitat et à l'exercice des activités économiques (al.</w:t>
      </w:r>
    </w:p>
    <w:p>
      <w:r>
        <w:rPr>
          <w:b/>
        </w:rPr>
        <w:t>E. 1.3</w:t>
      </w:r>
    </w:p>
    <w:p>
      <w:r>
        <w:t>p. 268; 119 Ia 362 consid. 4a p. 367; Tschannen, op. cit., N.15-24 ad art. 9 LAT; Waldmann/Hänni, op. cit., N. 7-14 ad art. 9 LAT). Le plan directeur cantonal n’a pas pour seul effet de décrire un état existant; il a aussi pour fonction d’impulser et de diriger les procédures de planification ultérieures. Selon l’art. 11 LAT, les plans directeurs cantonaux sont soumis au Conseil fédéral (al. 1), dont l’approbation leur confère force obligatoire pour les autorités de la Confédération et des cantons voisins (al. 2). b) Aux termes de l’art. 25 LATC, les plans directeurs ont pour but d’assurer un aménagement continu et cohérent du territoire (al. 1); ils fixent dans les grandes lignes les objectifs à atteindre, compte tenu du développement souhaité et des besoins individuels et collectifs (al. 2); ils indiquent la façon de coordonner les activités qui ont des effets sur le territoire (al. 3); ils fixent le programme des priorités et les mesures à prendre pour son exécution (al. 4). Le plan directeur cantonal détermine les objectifs généraux d’aménagement d’intérêt cantonal en vue d’utiliser rationnellement le sol, de répartir judicieusement les activités et de sauvegarder la nature et le paysage (art. 33 LATC). Adopté par le Grand Conseil (art. 8 LATC), le plan directeur cantonal est soumis à l’approbation du Conseil fédéral (art. 29 LATC). Selon l’art. 31 LATC, le plan directeur cantonal approuvé par le Conseil fédéral lie toutes les autorités (al. 1); les autres plans directeurs approuvés par le Conseil d’Etat sont des plans d’intention servant de référence et d’instrument de travail pour les autorités cantonales et communales (al. 2). Quant aux plans d’affectation, ils règlent l’affectation, la mesure de l’utilisation et les conditions de construction dans les diverses zones qu’ils définissent; ils sont élaborés sur la base des plans directeurs (art. 43 al. 1 LATC). c) Le Plan directeur cantonal (PDCn), entré en vigueur le 1 er août 2008, a fait l'objet de diverses mises à jour. Le Conseil d'Etat a notamment adopté une deuxième adaptation du PDCn, entrée en vigueur le 15 juin 2012 (une adaptation ponctuelle 2bis est encore entrée en vigueur le 15 juin 2013). L’un des objectifs principaux du PDCn est – avant même la modification dont la LAT a fait l'objet dès le 1 er mai 2014 - de remédier au problème de l’étalement urbain, contraire au développement durable, par le biais du développement judicieux des centres, qui passe notamment par la densification des zones à bâtir (PDCn 2012; Stratégie A, Ligne d'action A1, p. 47 à 49). d) La mesure A12 "Zones à bâtir manifestement surdimensionnées" (PDCn 2012, p. 54) prévoit ce qui suit: "Le Canton incite les communes dont les réserves dépassent au moins deux fois les besoins pour les 15 années suivant l’entrée en vigueur du Plan directeur cantonal à réviser leur Plan général d'affectation (PGA). La définition des besoins se fait au sens des alinéas 2 et</w:t>
      </w:r>
    </w:p>
    <w:p>
      <w:r>
        <w:rPr>
          <w:b/>
        </w:rPr>
        <w:t>E. 2</w:t>
      </w:r>
    </w:p>
    <w:p>
      <w:r>
        <w:t>L’art. 15 LAT (dans sa teneur jusqu'au 30 avril 2014 applicable en l'espèce) dispose ce qui suit: "Art. 15 Zones à bâtir Les zones à bâtir comprennent les terrains propres à la construction qui: a. sont déjà largement bâtis, ou b. seront probablement nécessaires à la construction dans les quinze ans à venir et seront équipés dans ce laps de temps." Une zone à bâtir est surdimensionnée lorsque sa surface excède ce qui est probablement nécessaire à la construction dans les quinze années à venir, au sens de l'art. 15 let. b LAT (ATF 103 Ia 252, consid. 2b, JdT 1979 I 280). Tel est le cas lorsque les réserves existantes permettraient de tripler voire de quintupler l'effectif de la population locale (ATF 119 Ib consid. 3a, JdT 1995 I 399; Zen-Ruffinen/Guy-Ecabert, p. 153). Il convient de préciser que l'art. 15 al. 2 LAT, dans sa nouvelle teneur applicable depuis le 1 er mai 2014, est libellé comme suit: "Les zones à bâtir surdimensionnées doivent être réduites."</w:t>
      </w:r>
    </w:p>
    <w:p>
      <w:r>
        <w:rPr>
          <w:b/>
        </w:rPr>
        <w:t>E. 3</w:t>
      </w:r>
    </w:p>
    <w:p>
      <w:r>
        <w:t>par le déclassement des terrains: ‐ non équipés; ‐ non construits depuis plus de 15 ans; ‐ qui ne font pas l'objet d'un projet à court terme; ‐ situés loin des dessertes en transports publics; ‐ situés loin des centres bâtis. Il est renoncé à un redimensionnement lorsque celui-ci est de faible importance et entraînerait des frais disproportionnés pour la commune. L'optimisation des réserves s'effectue par la procédure habituelle de révision du plan général d'affectation par les communes. Les communes disposent de dix ans pour mener cette procédure, sauf celles qui ont révisé leur plan général d’affectation sur la base des Lignes directrices 2002, qui disposent d'un délai de 15 ans." Les alinéas 2 et 3 de la mesure A11 "Légalisation des zones à bâtir" (PDCn 2012, p. 51) prévoient ce qui suit: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Selon le "Guide d'application des mesures A11 et A12" (p. 10-11), validé par le Conseil d'Etat le 26 janvier 2011, la mesure A11 prescrit le réexamen par les communes de leur zone à bâtir pour vérifier si elles sont conformes au PDCn. D'ici au 31 juillet 2018, chaque commune devra notamment vérifier que sa capacité de développement est à la mesure de ses besoins (croissance démographique) programmée d'ici 2023 ou, sinon, adapter sa zone à bâtir (par extension ou réduction) (AC.2012.0093 du 11 mars 2013 consid. 1d). La mesure A12, quant à elle, incite les communes à réviser leur plan général d’affectation (PGA) si les capacités d’accueil dépassent le double des besoins pour les quinze années suivant l’entrée en vigueur du Plan directeur cantonal, soit à l’horizon 2023 (Guide d'application des mesures A11 et A12, p. 20).</w:t>
      </w:r>
    </w:p>
    <w:p>
      <w:r>
        <w:rPr>
          <w:b/>
        </w:rPr>
        <w:t>E. 4</w:t>
      </w:r>
    </w:p>
    <w:p>
      <w:r>
        <w:t>a) En l'espèce, il ressort du formulaire de synthèse intitulé "F3 Bilan du dimensionnement de la zone à bâtir" établi le 25 novembre 2011 par le Service du développement territorial - qui constitue la première estimation établie par celui-ci en application de la mesure A11 du PDCn - que, sur la commune d'Ollon, la zone à bâtir hors du périmètre de centre est manifestement surdimensionnée en regard des besoins dans les quinze ans à venir: alors que la surface de zones à bâtir pourrait accueillir 6'536 habitants, les besoins sont de seulement 441 habitants (soit 15% de la population résidant hors centre au 31 décembre 2008 [2'939 habitants]). La surface de zones à bâtir est 14,8 (6'536 : 441) fois supérieure à ce qu'elle devrait être conformément au PDCn. On relève en outre que, conformément à la mesure A11 du PDCn, cette surface de zones à bâtir estimée par le Service du développement territorial ne comprend pas les parcelles présentant un potentiel à bâtir sises dans le périmètre de centre et que, si tel était le cas (ce qui devrait du reste se faire sous l'égide de l'art. 15 LAT dans sa teneur depuis le 1 er mai 2014), le facteur de surdimensionnement serait encore plus élevé puisque les terrains qui ne sont que partiellement bâtis ou sont non bâtis sont nombreux dans le périmètre de centre, comme cela ressort du document intitulé "Estimation des réserves en zone à bâtir à vocation d'habitation et mixte" également établi par le Service du développement territorial (cf. ci-dessous). La Commune d'Ollon est dès lors fondée à réduire sa zone à bâtir, ce que les recourantes ne contestent du reste pas. b) Figure effectivement également dans le dossier un document intitulé "Estimation des réserves en zone à bâtir à vocation d'habitation et mixte" établi le 25 novembre 2011 par le Service du développement territorial, qui consiste en des cartes de chaque portion du territoire de la commune d'Ollon sur lesquelles les parcelles sont classées en trois catégories: "non bâties", "largement bâties" ou "partiellement bâties" (ces dernières étant des parcelles bâties sur lesquelles ont néanmoins été déterminées des "réserves" au sens de la mesure A12 du PDCn). Le PPA "Les Ecovets" a établi la délimitation entre les parcelles qui restent en zone à bâtir et les parcelles qui sont déclassées en zone agricole en reprenant quasi (cf. les exceptions ci-dessous) la distinction qui ressort de ce document du Service du développement territorial entre les parcelles "largement bâties" (qui restent en zone à bâtir) et celles "partiellement bâties" et "non bâties" (qui sont déclassées en zone agricole). Il s'agit du reste de la même délimitation que celle établie lors de la délimitation de la zone réservée, qui l'avait été sur la base, notamment, du caractère peu bâti ou pas bâti du terrain, comme l'explique le Service du développement territorial dans sa réponse (cf. lettre J de la partie "Faits", considérant 3.7 de la réponse du Service du développement territorial). Les seules exceptions sont quelques parcelles qui sont non bâties ou partiellement bâties mais qui, dès lors qu'elles sont géographiquement "prises" dans la zone compacte constituée par les parcelles largement bâties, sont néanmoins colloquées en zone à bâtir par le plan. Au surplus, les parcelles colloquées en zone à bâtir par le plan, dès lors qu'elles sont toutes de surface moyenne, qu'elles comportent toutes (mises à part les quelques exceptions précitées) un chalet et qu'elles sont regroupées dans un secteur circonscrit en amont et en aval de la route des Ecovets, constituent un ensemble bâti compact cohérent. Il ressort de ce qui précède que la Commune a effectué la délimitation sur la base de critères objectifs et que celle-ci n'apparaît pas entachée d'arbitraire.</w:t>
      </w:r>
    </w:p>
    <w:p>
      <w:r>
        <w:rPr>
          <w:b/>
        </w:rPr>
        <w:t>E. 5</w:t>
      </w:r>
    </w:p>
    <w:p>
      <w:r>
        <w:t>Les recourantes reprochent à l'autorité communale d'avoir procédé au redimensionnement des zones à bâtir sur le secteur des Ecovets sans avoir préalablement procédé sur ce point à une réflexion d'ensemble au niveau du territoire communal, laquelle réflexion devrait se faire dans le cadre de la procédure d'adoption du plan directeur communal en cours. Il ressort du dossier que dans l'ensemble de la commune d'Ollon, la zone à bâtir est surdimensionnée, et que ce surdimensionnement est plus important, proportionnellement aux autres localités de la commune, sur le secteur de Villars-Chesières, enfin qu'il est encore plus important sur celui des Ecovets (où les besoins démographiques futurs sont quasi nuls, dès lors qu'y sont construites pratiquement que des résidences secondaires). Ainsi, si la commune aurait peut-être pu attendre que la procédure de plan directeur communal actuellement en cours arrive à chef, on ne peut toutefois que constater que cela n'aurait rien changé. En effet, la commune doit de toute façon procéder à un dézonage massif sur l'entier de son territoire (le représentant du Service du développement territorial a souligné, lors de l'audience du 29 septembre 2015, qu'au vu du surdimensionnement de la commune, le fait de dézoner entièrement ce qui est en-dehors du territoire largement bâti de la commune ne suffira même pas); le fait qu'elle ait commencé à le faire sur le secteur des Ecovets, qui présente en outre d'autres caractéristiques à prendre en compte selon la mesure A12 du PDCn, dont celui du fort éloignement par rapport aux centres bâtis et aux dessertes en transports publics, n'apparaît pas arbitraire. Ce grief doit être rejeté.</w:t>
      </w:r>
    </w:p>
    <w:p>
      <w:r>
        <w:rPr>
          <w:b/>
        </w:rPr>
        <w:t>E. 6</w:t>
      </w:r>
    </w:p>
    <w:p>
      <w:r>
        <w:t>Les recourantes contestent le sous-équipement dont souffrirait le secteur par ce que les trois parcelles sont desservies par le domaine public existant, que le réseau d'eaux usées existe déjà à proximité et que pour l'évacuation des eaux claires, des installations devront être créées pour la zone d'habitation existante dont les parcelles voisines bénéficieront. a) Pour qu'un terrain soit réputé équipé, l'art. 19 al. 1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ATF 1C 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Enfin, son utilisation ne doit pas provoquer de nuisances incompatibles avec les exigences de la loi fédérale sur la protection de l'environnement et de ses ordonnances d'exécution ( ATF 129 II 238 consid. 2 p. 241 et l'arrêt cité).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b) L'art. 19 LAT que les constructions doivent être correctement reliées aux réseaux d’installations publiques, de façon à ce qu’elles soient "desservi[es] de manière adaptée à l’utilisation prévue". Selon l’art. 7 al. 2 de la loi fédérale du 24 janvier 1991 sur la protection des eaux (LEaux; RS 814.20), les eaux non polluées doivent être évacuées par infiltration conformément aux règlements cantonaux. Si les conditions locales ne permettent pas l’infiltration, ces eaux peuvent, avec l’autorisation du canton, être déversées dans des eaux superficielles (voir aussi art. 12a et 12b dans sa teneur adoptée le 13 décembre 1989, de la loi vaudoise du 3 décembre 1957 sur la police des eaux dépendant du domaine public [LPDP; RSV 721.01]). L’art. 12 al. 3 LEaux prévoit que les eaux non polluées dont l’écoulement est permanent ne doivent pas être amenées, directement ou indirectement, à une station centrale d’épuration. L’autorité cantonale peut autoriser des exceptions. Le principe de la séparation des eaux usées et des eaux claires existait déjà sous l'empire de la législation précédente, à savoir la loi fédérale du 8 octobre 1971 sur la protection des eaux contre la pollution (RO 1972 958 et les modifications subséquentes figurant au RO). La nouvelle loi de 1991 a en revanche modifié les règles en matière d'acheminement des eaux claires. La priorité est maintenant donnée à l'infiltration des eaux de ce type et ce n'est que si ce mode d'évacuation n'est pas praticable, au vu des conditions locales, que les eaux claires peuvent, avec l'autorisation du canton, être déversées dans les eaux superficielles. c) Selon la jurisprudence, un propriétaire ne possède ni le droit à ce que son bien-fonds reste dans la zone à bâtir, ni celui d'exiger qu'il soit affecté à la zone à bâtir, même si ce dernier est déjà équipé ou pourrait l'être (ATF 122 II 332 consid. 6a, JdT 1997 I 438). d) Selon le guide d’application des mesures A11 et A12 validé par le Conseil d’Etat le 26 janvier 2011 (p. 21), le fait qu'une parcelle soit mal desservie en services et en équipements constitue un des critères à prendre en compte pour la déclasser. e) En l'espèce, il ressort des constatations du tribunal lors de l'inspection locale que la route des Ecovets (sur laquelle il n'est pas possible de croiser) et le chemin DP 316 qui dessert les trois parcelles des recourantes (qui est un chemin en terre) ne constituent pas des voies d'accès adaptées en cas de développement desdites parcelles. S'agissant de l'équipement pour les eaux claires, il ressort des déclarations des parties lors de l'audience du 29 septembre 2015 qu'actuellement, dans le secteur des Ecovets, les eaux claires des maisons existantes ainsi que celles en construction sont collectées en unitaire. Dès lors que l'infiltration des eaux claires n'est pas possible pour des raisons géologiques (au vu de la grande concentration de gypse dans le sous-sol, il existe un risque élevé de formation de dolines en cas d'infiltration d'eaux claires dans le sol) et qu'il n'y a pas de collecteurs d'eaux claires à proximité (puisqu'il est à Chesières), il convient de constater que le secteur n'est pas équipé. Quant à l'argument des recourantes selon lequel il serait possible d'équiper, il n'est pas pertinent dans la mesure où c'est l'état actuel de l'équipement qui est déterminant (et non celui dans lequel il pourrait être si la collectivité publique procédait à des investissements). L'argument, mal fondé, doit être rejeté.</w:t>
      </w:r>
    </w:p>
    <w:p>
      <w:r>
        <w:rPr>
          <w:b/>
        </w:rPr>
        <w:t>E. 7</w:t>
      </w:r>
    </w:p>
    <w:p>
      <w:r>
        <w:t>Les recourantes relèvent que la zone de dangers naturels moyens affecte aussi la zone d'habitation de très faible densité consacrée par le plan contesté. Il est vrai que la construction dans le secteur des Ecovets n'est pas impossible. Le Service du développement territorial l'a du reste admis, relevant dans sa réponse que les dangers naturels ne constituent qu'un paramètre supplémentaire qui a contribué à reconsidérer l’aptitude des terrains à la construction, et que ce paramètre se combine avec ceux de l’équipement, l’éloignement, les besoins en zone à bâtir et la configuration des lieux en vue de l’application de la mesure A12 du PDCn.</w:t>
      </w:r>
    </w:p>
    <w:p>
      <w:r>
        <w:rPr>
          <w:b/>
        </w:rPr>
        <w:t>E. 8</w:t>
      </w:r>
    </w:p>
    <w:p>
      <w:r>
        <w:t>Il résulte de ce qui précède que c'est à juste titre que le conseil communal et le Département de l'intérieur ont refusé de colloquer les parcelles des recourantes en zone d'habitation de très faible densité, et qu'ils ont maintenu la collocation de celles-ci en zone agricole, telle que prévue par le PPA "Les Ecovets". Vu ce qui précède, le recours est rejeté aux frais des recourantes, qui doivent des dépens à la Commune d'Ollon.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