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AC.2013.0407 vom 12. August 2014</w:t>
      </w:r>
    </w:p>
    <w:p>
      <w:r>
        <w:t>VD Tribunal cantonal, 2014-08-12, FR</w:t>
      </w:r>
    </w:p>
    <w:p>
      <w:r>
        <w:rPr>
          <w:b/>
        </w:rPr>
        <w:t xml:space="preserve">Quelle: </w:t>
      </w:r>
      <w:r>
        <w:t>https://mcp.opencaselaw.ch/entscheid/vd_omni_AC.2013.0407</w:t>
      </w:r>
    </w:p>
    <w:p>
      <w:r>
        <w:t>FR: VD_OMNI AC.2013.0407 du 12 août 2014</w:t>
      </w:r>
    </w:p>
    <w:p>
      <w:r>
        <w:t>IT: VD_OMNI AC.2013.0407 del 12 agosto 2014</w:t>
      </w:r>
    </w:p>
    <w:p>
      <w:pPr>
        <w:pStyle w:val="Heading2"/>
      </w:pPr>
      <w:r>
        <w:t>Regeste</w:t>
      </w:r>
    </w:p>
    <w:p>
      <w:r>
        <w:t>METTRAUX/Service du développement territorial, Municipalité de Villars-le-Terroir | Les demandes de régularisation (Nachträgliche Baugesuche) doivent être examinées selon le droit en vigueur au moment de l'exécution (non autorisée) des travaux; le droit postérieur n'est applicable que s'il est plus favorable au constructeur ou si le constructeur a éludé l'exigence d'une autorisation dans l'intention d'échapper au droit futur plus restrictif</w:t>
      </w:r>
    </w:p>
    <w:p>
      <w:pPr>
        <w:pStyle w:val="Heading2"/>
      </w:pPr>
      <w:r>
        <w:t>Erwägungen</w:t>
      </w:r>
    </w:p>
    <w:p>
      <w:r>
        <w:rPr>
          <w:b/>
        </w:rPr>
        <w:t>E. 1</w:t>
      </w:r>
    </w:p>
    <w:p>
      <w:r>
        <w:t>La parcelle est située en zone agricole. Il n'est pas contesté que le recourant n'est pas exploitant agricole. a) Selon l'art. 22 al. 2 let. a LAT, aucune construction ou installation ne peut être créée ou transformée sans autorisation de l'autorité compétente. L'al. 2 dispose que l'autorisation est délivrée si la construction ou l'installation est conforme à l'affectation de la zone (lettre a) et si le terrain est équipé (lettre b). L'art. 103 al. 1 LATC prévoit pour sa part qu'aucun travail de construction ou de démolition en surface ou en sous-sol, modifiant de façon sensible la configuration, l'apparence ou l'affectation d'un terrain ou d'un bâtiment, ne peut être exécuté avant d'avoir été autorisé. Selon les art. 25 al. 2 LAT et 81 al. 1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m²; les agrandissements effectués à l’intérieur du volume bâti existant ne comptent que pour moitié.</w:t>
      </w:r>
    </w:p>
    <w:p>
      <w:r>
        <w:rPr>
          <w:b/>
        </w:rPr>
        <w:t>E. 4</w:t>
      </w:r>
    </w:p>
    <w:p>
      <w:r>
        <w:t>Il convient encore d'examiner si c'est à juste titre que l'autorité intimée a exigé le démontage du bow-window. Pour cet élément-là de la construction, qui date de 2006, le recourant ne peut évidemment pas se prévaloir de l'autorisation délivrée en 1973. Il s'agit donc d'appliquer l'art. 24c LAT pour déterminer si le bâtiment ECA nº 197 peut faire l'objet d'un agrandissement mesuré au sens de cette disposition et en particulier si l'exigence du respect de l'identité de la construction au sens de l'art. 42 al. 1 OAT est satisfaite. Est déterminant sur ce point, en vertu de l'art. 42 al. 2 OAT, le moment de la modification de la législation ou des plans d’aménagement, c'est-à-dire le 1 er juillet 1972. Il n'est pas contesté que le bâtiment ECA n 197 disposait au 1 er juillet 1972 d'une surface habitable de 137.5 m² et d'une surface annexe (la véranda) de 33.64 m². Calculé selon les règles de l'art. 42 OAT rappelée ci-dessus, le potentiel maximal d'agrandissement à l'extérieur est par conséquent, concernant la surface habitable, de 41.25 m² (30% de 137.5 m²) et, concernant les surfaces annexes (non litigieuses), de 10.09 m² (30% de 33.64 m²). Or l'agrandissement de 1973 a augmenté la surface habitable du bâtiment existant de deux fois 47 m². On aboutit ainsi au constat paradoxal que s'il a bien été effectué légalement, l'agrandissement de 1973 dépasse d'ores et déjà le potentiel d'agrandissement calculé selon les règles de l'OAT du 28 juin 2000. Placé en 2006 par le recourant à la place de la porte de garage précédemment murée, le bow-window litigieux mesure environ 2 m. 65 de largeur (ses angles sont coupés) et 1 m. 45 de profondeur. Comme le potentiel d'agrandissement de la surface habitable avait déjà été dépassé par les travaux effectués en 1973, c'est à juste titre que l'autorité intimée a refusé sa régularisation, le critère quantitatif posé à l'art. 42 OAT n'étant pas respecté.</w:t>
      </w:r>
    </w:p>
    <w:p>
      <w:r>
        <w:rPr>
          <w:b/>
        </w:rPr>
        <w:t>E. 5</w:t>
      </w:r>
    </w:p>
    <w:p>
      <w:r>
        <w:t>Il convient dès lors d'examiner l'ordre de remise en état sous l'angle du respect du principe de la proportionnalité. aa)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AC.2012.0357 du 19 septembre 2013 consid. 5a; AC.2011.0220, AC.2011.0222 du 10 janvier 2013 consid. 5a; AC.2012.0130 du 13 décembre 2012 consid. 9a). Par démolition, il faut entendre non seulement la démolition proprement dite de travaux effectués sans droit, mais aussi la remise en état des lieux (cf. arrêts AC.2012.0357 précité consid. 5a; AC.2011.0220, AC.2011.0222 précité consid. 5a; AC.2012.0130 précité consid. 9a; Benoît Bovay, Le permis de construire en droit vaudois, 2 ème éd., Lausanne 1988, p. 200).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arrêts AC.2011.0220, AC.2011.0222 précité consid. 5a; AC.2012.0130 précité consid. 9a; AC.2011.0228 du 23 août 2012 consid. 4a).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p. 255;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p. 365; 123 II 248 consid. 4b p. 255; cf. arrêts AC.2011.0220, AC.2011.0222 précité consid. 5a; AC.2012.0130 précité consid. 9a; AC.2011.0228 précité consid. 4a).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arrêts précités AC.2011.0220, AC.2011.0222 consid. 5a; AC.2012.0130 consid. 9a; AC.2011.0228 consid. 4a). bb) En l'espèce, le recourant admet qu'il a placé le bow window à la place de la porte de garage sans autorisation mais il fait valoir, à titre d'excuse, qu'à la fin de septembre 2006, il n'avait reçu aucune réponse de l'autorité intimée suite à sa demande du 19 juillet 2006 et que, lassé d'attendre, il avait entrepris les travaux. Il apparaît en effet vraisemblable qu'il n'a pas reçu la lettre du 22 septembre 2006 du SDT préavisant négativement à sa demande du 19 juillet 2006, dès lors que la municipalité ne semble pas l'avoir reçu non plus puisque, ni dans sa lettre du 28 septembre 2006 ni dans celle du 20 novembre 2006, elle n'a mentionné dite lettre du 22 septembre 2006. Il est clair que le fait de n'avoir pas reçu de réponse à sa demande n'autorisait pas Pierre Mettraux à procéder sans y être autorisé aux transformations qu'il souhaitait entreprendre. Toutefois, il s'agit d'un élément qui peut être pris en compte dans l'appréciation du principe de proportionnalité. Ce d'autant plus que le recourant procédait à bon droit (cf. ci-dessus, consid. 2/b) à des travaux de rénovation intérieurs des deux pièces du rez, et qu'il aurait par conséquent vraisemblablement été autorisé à remplacer la porte de garage factice qui était posée sur l'ouverture dans la paroi extérieure d'une de ces pièces qui s'est avérée ne pas être un garage. Enfin et surtout, il faut bien voir que le bow-window n'occupe qu'une surface très limitée (de 3.8 m²) et qu'à l'endroit où il est accolé à la façade, le sol était déjà recouvert d'un revêtement bitumeux qui se prolonge jusqu'à la route cantonale qui jouxte la façade à quelques mètre seulement, le tout dans un environnement marqué par la présence du viaduc qui enjambe la route cantonale. L'atteinte causée par cet élément de construction est négligeable. Il convient dès lors de renoncer à l'exigence posée par l'autorité intimée de démonter le bow window, qui ne se justifie pas du point de vue du respect du principe de la proportionnalité.</w:t>
      </w:r>
    </w:p>
    <w:p>
      <w:r>
        <w:rPr>
          <w:b/>
        </w:rPr>
        <w:t>E. 6</w:t>
      </w:r>
    </w:p>
    <w:p>
      <w:r>
        <w:t>L'autorité intimée a requis, lors de l'audience du 28 janvier 2014, qu'il soit procédé à un échange d'écritures supplémentaire après que les parties auraient pris connaissance des documents relatifs au bâtiment ECA n° 197 dont ils ont demandé que le tribunal requière la production auprès de l'ECA. Toutefois, au vu des considérations qui amènent à admettre le recours (cf. consid. 2b ci-dessus), il n'apparaît pas nécessaire de procéder à la mesure d'instruction requise, ni d'inviter les parties à procéder à un échange d'écritures supplémentaire.</w:t>
      </w:r>
    </w:p>
    <w:p>
      <w:r>
        <w:rPr>
          <w:b/>
        </w:rPr>
        <w:t>E. 7</w:t>
      </w:r>
    </w:p>
    <w:p>
      <w:r>
        <w:t>Vu ce qui précède, le recours doit être admis. a) Il s'ensuit que la décision du 19 août 2013 du SDT doit être réformée en ce sens que les chiffres 1 à 4 du chapitre III du dispositif doivent être annulés, ainsi que les chiffres 7 et 8 relatifs aux délais de remise en état. La décision doit être maintenue pour le surplus. Il en va ainsi, en particulier, du chapitre IV mettant à la charge du recourant un émolument de 3'640 francs. Ce montant se fonde sur l’art. 11a du règlement du 8 janvier 2001 fixant les émoluments en matière administrative (RE-Adm; RSV 172.55.1), qui prévoit qu'un émolument de 500 à 10'000 fr. peut être perçu pour les décisions de suspension de travaux, de remise en état et toutes autres décisions, prestations, expertises liées à une construction illicite hors de la zone à bâtir ainsi que les frais de gestion du dossier. Cet émolument se justifie quelle que soit l'issue du recours, dès lors que le recourant a réalisé des travaux soumis à autorisation spéciale cantonale sans avoir obtenu préalablement celle-ci. Au demeurant, l'émolument fixé s'inscrit de toute manière dans les limites de l'art. 10 RE-Adm concernant les autorisations spéciales cantonales. Il est ainsi justifié et il doit être maintenu, même si une partie des constructions réalisées sans autorisation peut être considérée comme conforme aux dispositions des art. 24c LAT et 42 OAT. b) Conformément aux art. 45, 49, 55, 91 et 99 de la loi vaudoise du 28 octobre 2008 sur la procédure administrative (LPA-VD; RSV 173.36) , les frais et dépens sont mis à la charge de la partie qui succombe. Des frais de procédure ne peuvent pas être exigés de la Confédération ni de l'Etat (art. 52 al.1 LPA-VD). En l'espèce, en ce qui concerne la répartition des frais et des dépens, le tribunal doit tenir compte de l’admission du recours mais également du fait que le recourant a réalisé des travaux sans requérir l’autorisation cantonale préalable, en plaçant l’autorité compétente devant le fait accompli, violant ainsi les prescriptions formelles relatives aux constructions hors des zones à bâtir. Ainsi, un émolument réduit de moitié sera mis à la charge du recourant – le solde étant laissé à la charge de l'Etat – et celui-ci n'aura pas droit à l'allocation de dépens pour les mêmes motifs (art. 49 al. 2, 91 et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