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AC.2013.0397 vom 19. August 2014</w:t>
      </w:r>
    </w:p>
    <w:p>
      <w:r>
        <w:t>VD Tribunal cantonal, 2014-08-19, FR</w:t>
      </w:r>
    </w:p>
    <w:p>
      <w:r>
        <w:rPr>
          <w:b/>
        </w:rPr>
        <w:t xml:space="preserve">Quelle: </w:t>
      </w:r>
      <w:r>
        <w:t>https://mcp.opencaselaw.ch/entscheid/vd_omni_AC.2013.0397</w:t>
      </w:r>
    </w:p>
    <w:p>
      <w:r>
        <w:t>FR: VD_OMNI AC.2013.0397 du 19 août 2014</w:t>
      </w:r>
    </w:p>
    <w:p>
      <w:r>
        <w:t>IT: VD_OMNI AC.2013.0397 del 19 agosto 2014</w:t>
      </w:r>
    </w:p>
    <w:p>
      <w:pPr>
        <w:pStyle w:val="Heading2"/>
      </w:pPr>
      <w:r>
        <w:t>Regeste</w:t>
      </w:r>
    </w:p>
    <w:p>
      <w:r>
        <w:t>Chanson/Municipalité de La Chaux, Service du développement territorial | Projet de construction d'un immeuble de sept appartements dans un ancien rural. Si le règlement communal autorise une réduction de la distance entre bâtiments et limite de propriété, la distance entre bâtiments sur la même propriété devrait également pouvoir être réduite dans la même proportion, les deux types de réglementation poursuivant un objectif d'urbanisme similaire. Il n'est toutefois pas certain que la municipalité puisse autoriser, par le biais d'une disposition dérogatoire, une aggravation de l'atteinte existante à la réglementation communale, à supposer qu'on se trouve dans un cas d'application de l'art. 80 LATC (consid. 8). La municipalité n'a pas adopté un comportement contraire aux règles de la bonne foi; le syndic, dont les éventuelles promesses n'engagent pas le corps collégial de la municipalité, s'est limité à indiquer que le projet semblait intéressant (consid. 9). Pas de violation du principe de l'égalité de traitement, les travaux autorisés sur une autre parcelle par la municipalité n'étant pas comparables à ceux que souhaite réaliser le recourant (consid. 10). Rejet du recours.</w:t>
      </w:r>
    </w:p>
    <w:p>
      <w:pPr>
        <w:pStyle w:val="Heading2"/>
      </w:pPr>
      <w:r>
        <w:t>Erwägungen</w:t>
      </w:r>
    </w:p>
    <w:p>
      <w:r>
        <w:rPr>
          <w:b/>
        </w:rPr>
        <w:t>E. 1</w:t>
      </w:r>
    </w:p>
    <w:p>
      <w:r>
        <w:t>Le recourant se plaint d'une violation de son droit d'être entendu. La motivation de la décision attaquée serait insuffisante. a) Les parties ont le droit d'être entendues (art. 29 al. 2 Cst.; 17 al. 2 Cst/VD; art. 33 ss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et les arrêts cités). Le droit d'être entendu confère également à toute personne le droit d’exiger, en principe, qu’une décision ou un jugement défavorable à sa cause soient motivés.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 ATF 138 I 232 consid. 5.1 p. 237; 136 II 266 consid. 3.2 p. 270; 136 I 184 consid. 2.2.1 p. 188, 229 consid. 5.2 p. 236, et les arrêts cités ). b) La municipalité a en l'occurrence rejeté succinctement la demande d'autorisation de construire du recourant. Elle s'est limitée à relever que le projet était contraire, tant au RPE actuel qu'au futur RPGA, sans préciser quelles étaient précisément les dispositions qui s'opposaient à la réalisation du projet. Elle n'a pas non plus examiné de manière détaillée si les conditions d'application de l'art. 77 LATC étaient réunies. Elle s'est enfin limitée à renvoyer le recourant aux objections d'un opposant, ainsi qu'à la synthèse CAMAC, sans expliquer pour quels motifs les remarques figurant dans ces documents s'opposaient à la réalisation de la construction projetée. La municipalité a toutefois, avant de rendre sa décision du 23 juillet 2013, communiqué au recourant le rapport de son service technique, qui contient une liste de toutes les dispositions réglementaires non respectées. Dans sa réponse, ainsi qu'à l'audience, la municipalité a précisé sa position, en indiquant quelles étaient les dispositions du RPE actuel, s'opposant au projet. Le recourant a eu la possibilité de répliquer et de déposer une écriture complémentaire à l'issue de l'audience. c) Une violation du droit d'être entendu peut de toute manière être guérie si le justiciable dispose de la faculté de se déterminer dans la procédure de recours, pour autant que l'autorité de recours dispose d'un plein pouvoir d'examen, en fait et en droit (ATF 135 I 279 consid. 2.6.1 p. 285; 133 I 201 consid. 2.2 p. 204; 132 V 387 consid. 5.1 p. 390).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A supposer que la décision attaquée soit insuffisamment motivée, ce défaut aurait été guéri dans le cadre de la procédure de recours. Le recourant a pu faire valoir tous ses moyens devant le Tribunal, lequel dispose d'un plein pouvoir d'examen, en fait et en droit (art. 98 LPA-VD). En outre, admettre le recours sur ce point reviendrait à prolonger inutilement la procédure et constituerait une mesure vide de sens. Le grief tiré du droit d'être entendu doit être rejeté.</w:t>
      </w:r>
    </w:p>
    <w:p>
      <w:r>
        <w:rPr>
          <w:b/>
        </w:rPr>
        <w:t>E. 2</w:t>
      </w:r>
    </w:p>
    <w:p>
      <w:r>
        <w:t>L'art. 77 LATC présente, par rapport à la réglementation en vigueur, un caractère subsidiaire, de sorte que ce n'est qu'après avoir vérifié le caractère réglementaire du projet que l'autorité de recours examine, le cas échéant, si la municipalité a invoqué arbitrairement l'art. 77 LATC.</w:t>
      </w:r>
    </w:p>
    <w:p>
      <w:r>
        <w:rPr>
          <w:b/>
        </w:rPr>
        <w:t>E. 3</w:t>
      </w:r>
    </w:p>
    <w:p>
      <w:r>
        <w:t>Selon la municipalité, le projet présenté par le recourant aurait une hauteur qui dépasserait celle autorisée par l'art. 8 RPE. Selon cette disposition, la hauteur des façades ne doit pas dépasser la hauteur de 7 mètres à la corniche. Le recourant ne conteste pas que la hauteur à la corniche du projet litigieux est de 7,45 mètres. Il explique toutefois qu'il aurait obtenu l'approbation de principe du syndic, s'agissant d'une possible dérogation à l'art. 8 RPE. Dans le cadre de la présente procédure, le recourant a produit de nouveaux plans, respectant selon lui la hauteur à la corniche. Compte tenu de l'issue du recours, la question de savoir si le projet litigieux respecte la hauteur maximale à la corniche peut demeurer indécise.</w:t>
      </w:r>
    </w:p>
    <w:p>
      <w:r>
        <w:rPr>
          <w:b/>
        </w:rPr>
        <w:t>E. 4</w:t>
      </w:r>
    </w:p>
    <w:p>
      <w:r>
        <w:t>La municipalité a en outre considéré que le projet présenté par le recourant violerait la clause d'esthétique. 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(Moor, Commentaire LAT, art. 17, nos 15 à 18). C’est pourquoi l’art. 90 de la loi sur la protection de la nature des monuments et des sites du 10 décembre 1969 (LPNMS; RSV 450.11) accorde aux associations d'importance cantonale, qui se vouent à la protection de la nature, des monuments et des sites, la qualité pour recourir contre les décisions prises en application de de cette loi (voir l’arrêt AC.2000.0122 du 9 septembre 2004 consid. 1).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5</w:t>
      </w:r>
    </w:p>
    <w:p>
      <w:r>
        <w:t>a)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Par ailleurs, l'art. 86 LATC, comporte une « clause d’esthétique »,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Cette disposition fait donc partie des autres mesures réservées par l’art. 17 al. 2 LAT pour protéger les localités typiques. b) La LPNMS fait aussi partie des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d) En l’espèce, le village de La Chaux est inscrit à un inventaire fédéral d’objet d’importance nationale au sens de l’art. 5 de la loi fédérale sur la protection de la nature et du paysage du 1er juillet 1966 (LPN; RS 451). L’annexe à l’ordonnance concernant l'Inventaire fédéral des sites construits à protéger en Suisse du 9 septembre 1981 (OISOS; RS 451.12), répertorie le village de La Chaux comme site construit d’importance nationale. Le village de La Chaux fait ainsi partie des "localités typiques, lieux historiques, et monuments naturels ou culturels", c’est-à-dire des ensembles bâtis qui regroupent en une unité harmonieuse plusieurs constructions et qui s'intègrent parfaitement à leur environnement, et pour lesquels les cantons doivent prévoir des mesures de protection en application de l’art. 17 al. 1 let. c LAT. Le règlement communal sur le plan d’extension et la police des constructions, approuvé par le Conseil d’Etat le 29 octobre 1980 (RPE), prévoit déjà certaines mesures de protection des éléments du patrimoine du village. Dans la zone du vieux village rural, la réglementation pose à l’art. 11 RPE des exigences spécifiques d’intégration en demandant que pour les transformations ou les constructions nouvelles "la volumétrie générale et les types d’ouverture des constructions anciennes soient respectés et que les couleurs et les matériaux s’harmonisent à ceux de l’entourage". Pour la zone du village rural A, où se situe le projet litigieux, l’art. 15 RPE prévoit également des exigences d’intégration accrues en posant la règle suivante : « Art. 15 Les transformations ou constructions nouvelles devront s’harmoniser avec les constructions existantes, notamment dans la forme, les dimensions et les teintes, ainsi que dans les détails de construction. »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(voir les arrêts AC.2012.0346 du 28 août 2013 consid. 8d, AC.2012.0238 du 28 mars 2013 consid. 1c, AC.2011.0068 du 27 décembre 2011 consid 1b, AC.2010.0299 du 18 octobre 2011 consid. consid. 3b,  AC.2006.0044 du 30 octobre 2006 consid. 3d, AC.2003.0204 du 21 décembre 2004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(arrêts AC.2012.0238 du 28 mars 2013, consid. 1c; AC.2010.0207 du 12 juillet 2011, consid. 2b, AC.2004.0204 du 21 décembre 2004, AC.2003.0204 du 21 décembre 2003 consid. 2b). Par ailleurs, pour appliquer et interpréter les dispositions communales qui, comme l’art. 15 RPE, fixent des exigences de qualité d’intégration plus poussées que la simple clause d’esthétique dans les localités typiques au sens de l’art. 17 al. 1 let.c LAT, l’autorité communale peut se référer aux critères d’évaluation qui ont été utilisés pour procéder au recensement architectural des bâtiments du canton au sens de l’art. 30 du règlement d'application du 22 mars 1989 de la LPNMS (RLPNMS ; RSV 450.11.1). Le recensement architectural comporte une classification des bâtiments de 1 à 7 en vue de déterminer lesquels seront portés à l’inventaire cantonal des monuments historiques et des antiquités au sens de l’art. 49 LPNMS. Selon la directive cantonale sur le recensement architectural, la note 1 comprend les bâtiments d’importance nationale. Le monument a une valeur justifiant un classement comme monument historique et en tous les cas une inscription à l’inventaire. La note 2 recense les monuments d’importance régionale, qui ont en principe une valeur justifiant un classement comme monument historique. Ils sont également inscrits à l’inventaire. La note 3 recense les objets intéressants au niveau local. Le bâtiment mérite d’être conservé mais il peut être modifié à condition de ne pas altérer les qualités qui ont justifié la note 3. Les objets auxquels la note 4 est attribuée sont qualifiés de bien intégrés. Selon le commentaire figurant dans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Ainsi, le recensement architectural est un élément d’appréciation que les communes doivent prendre en considération pour déterminer si un projet de transformation ou une nouvelle construction respecte les exigences d’intégration spécifique de la réglementation communale pour les localités typiques au sens de l’art. 17 al. 1 let. c LAT (arrêts AC.2010.0141 du 16 novembre 2011, consid. 4b; .2008.0328 du 27 novembre 2009 consid. 4, AC.2007.0147 du 31 juillet 2008, consid. 3c, AC.2006.0113 du 12 mars 2007, consid. 7c/cc, AC.2002.0128 du 12 mars 2004 consid. 4b et AC.2000.0122 du 9 septembre 2004 consid. 3c). e) Le projet s'inscrit en l'occurrence dans un contexte particulier, puisqu'il concerne la transformation d'un ancien rural en habitation, dans un village qui figure à l'Inventaire fédéral des sites construits d'importance nationale à protéger en Suisse (ISOS). Le bâtiment concerné fait partie de l'ensemble E 0.1, soit le quartier supérieur d'Ittens, qui se caractérise par une superposition de trois rangées inégales de fermes, formant avec les dessertes et les jardins potagers une substance originale homogène. L'ISOS recommande la sauvegarde de la substance et de la structure de ce périmètre. Il précise également que l'usage de matériaux prétentieux et de détails fantaisistes lors de transformations futures de la substance agricole en habitat est à éviter. Le bâtiment en cause figure en outre en note 4 au recensement architectural, qui désigne un objet bien intégré. Le SIPAL a considéré que cet objet, par son volume, sa composition et sa fonction, formait en général la majorité des bâtiments d'une localité et était donc déterminant pour l'image d'une localité et constitutif du site. C'est à ce titre que leur identité mérite d'être sauvegardée. Selon le SIPAL, les travaux projetés, d'une volumétrie excessive et schématique (perte de réveillons du toit, de la demi-croupe), banaliseraient le bâtiment d'une manière très regrettable, en raison également du nombre et des dimensions des percements, dont certains ne seraient au surplus pas réglementaires. L'augmentation de la hauteur du bâtiment, outre qu'elle contreviendrait aux dispositions du règlement communal, n'améliorerait pas les qualités d'intégration du bâtiment. Cette appréciation n'apparaît pas critiquable, au regard notamment des objectifs de protection de l'ISOS. En effet, l’inscription d’un objet d’importance nationale dans un inventaire fédéral indique que l’objet mérite spécialement d’être conservé intact ou en tout cas d’être ménagé le plus possible (art. 6 al. 1 LPN). La municipalité pouvait considérer que les travaux de transformation du rural, dans la mesure où ils s'inscrivaient dans un site sensible, impliquaient un dimensionnement et des percements excessifs par rapport aux qualités du tissu bâti existant. Il lui incombe en effet de veiller à ce que les transformations ou les constructions nouvelles s'harmonisent avec les constructions existantes (cf. art. 15 RPE). La municipalité n'a pas abusé de son pouvoir d'appréciation, en considérant que le projet, tel que mis à l'enquête publique, violait l'art. 15 RPE. C'est dès lors à juste titre que la municipalité, se référant au préavis du SIPAL, a refusé de délivrer le permis de construire pour ce motif.</w:t>
      </w:r>
    </w:p>
    <w:p>
      <w:r>
        <w:rPr>
          <w:b/>
        </w:rPr>
        <w:t>E. 6</w:t>
      </w:r>
    </w:p>
    <w:p>
      <w:r>
        <w:t>a) Selon la municipalité, le rez inférieur, qui comprend une salle commune de 96 m2 et des sanitaires, devrait être pris en compte comme étage. Le recourant conteste l'appréciation de la municipalité, qui n'aurait pas tenu compte du fait que cet étage est en grande partie enterré; il ne serait dégagé que par l'effet de la pente b) Aux termes de l'art. 9 RPE, le nombre des étages est limité à deux sous la corniche, rez-de-chaussée compris. Les combles pourront être habitables, sur un seul étage. D'emblée, on relèvera que l'art. 9 RPE se réfère à la notion d'"étage", et non à celle d'"étage habitable". Il y a dès lors lieu d'examiner si l'étage désigné comme "rez inférieur" devait être qualifié de sous-sol, comme le soutient le recourant. La qualification de sous-sol doit tenir compte de toutes les caractéristiques de chaque cas particulier et notamment des buts de la réglementation communale en se référant à un faisceau de critères, assurant la prise en considération de l’ensemble des circonstances déterminantes (arrêt AC.2007.0290 du 26 février 2008 consid. 3c et les références; voir ég. arrêt AC.2008.0141 consid. 2b). Selon la jurisprudence de l'ancienne Commission cantonale de recours et de l'ancien Tribunal administratif, reprise à son compte par le Tribunal cantonal, la façon dont les constructeurs dénomment un niveau n'est pas déterminant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en-dessous du terrain naturel en amont; que la hauteur du bâtiment au faîte soit sensiblement inférieur au maximum réglementaire. Est également un sous-sol un niveau sur lequel se trouve l'entrée du bâtiment (avec une façade percée de grandes baies vitrées), mais lorsque la majeure partie du niveau est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AC.2011.0138 du 31 octobre 2011, in: RDAF 2012 I 117, p. 156; AC.2007.0276 du 13 juin 2008, consid. 8c; AC.2007.0290 du 26 février 2008, consid. 3c; AC.2006.0044 du 30 octobre 2006, consid. 5; AC.2004.0232 du 8 décembre 2005, consid. 2, où la qualification de sous-sol a été retenue; AC.2006.0118 du 26 juillet 2007, consid. 2; AC.2006.0082 du 20 février 2007, consid. 5, où le niveau inférieur a été considéré comme habitable). Ces conditions cumulatives fixées par la jurisprudence doivent être remplies à défaut de réglementation communale topique (arrêt AC.2011.0138 du 31 octobre 2011, in: RDAF 2012 I 117, p. 156). c) En l'occurrence, l'étage désigné "rez inférieur" sera entièrement dégagé aux façades Nord et Ouest, soit les façades qui donnent sur la cour et sur les places de stationnement prévues. Il sera partiellement dégagé au Sud et entièrement enterré à l'Est. Les plans des coupes ne précisent toutefois pas où se situait le terrain naturel, de sorte qu'il est difficile de déterminer si le volume de l'étage "rez inférieur" se situe en majeure partie sous le terrain naturel. L'étage "rez inférieur" comprend, outre une salle commune de 96 m2 munie de WC, probablement isolée, les garages intérieurs, les caves et les buanderies, ainsi que divers locaux techniques inhabitables. Tel que projeté, ce niveau peut donner l'impression de création d'un étage supplémentaire, aussi bien depuis la cour, que depuis la route. Seule une des façades visibles étant en effet entièrement enterrée. L'accès principal aux appartements s'effectue depuis le "rez supérieur", mais plusieurs des appartements sont toutefois également accessibles par une cage d'escalier intérieure, depuis les garages situés à l'étage inférieur. Au vu de la superficie de l'espace isolé, ainsi que de l'apparence extérieur de l'étage désigné "rez inférieur", on devrait plutôt considérer qu'il s'agit d'un étage habitable au sens de la réglementation communale.  Compte tenu toutefois de l'issue du recours, la question de savoir si la Municipalité a abusé de son pouvoir d'appréciation en retenant que le "rez inférieur" devait être qualifié d'étage, peut toutefois demeurer indécise. Le recourant devra de toute façon soumettre à la Municipalité un nouveau projet.</w:t>
      </w:r>
    </w:p>
    <w:p>
      <w:r>
        <w:rPr>
          <w:b/>
        </w:rPr>
        <w:t>E. 7</w:t>
      </w:r>
    </w:p>
    <w:p>
      <w:r>
        <w:t>Le projet du constructeur serait, selon la municipalité, également contraire à l'art. 40 RPE. Selon cette disposition, lorsque les combles sont habitables, ils sont éclairés par des ouvertures dans les pignons. En tant qu'éclairage complémentaire, la Municipalité peut autoriser la création de lucarnes rampantes; la plus grande dimension sera placée dans le sens de la pente du toit. La hauteur minimum de vide d'étage des combles, entre le plancher et le plafond doit être observée au moins sur le 50% de la surface de chaque pièce. Une modification du deuxième paragraphe de cette disposition, approuvée par le Conseil d'Etat dans sa séance du 18 mai 1984 précise qu'en tant qu'éclairage complémentaire, la Municipalité peut autoriser la création de lucarnes rampantes (ancien), ainsi que des lucarnes sortantes (nouveau). Les lucarnes inscrites dans le gabarit du toit sont appelées "lucarnes négatives" et celles en saillie sur celui-ci "lucarnes positives" (v. notamment arrêt AC.2007.0251 du 20 mars 2008 consid. 3). Un balcon baignoire peut ainsi être qualifié de "lucarne négative" lorsqu'il consiste en une ouverture percée dans le toit et entourée de toute part par la toiture environnante, à la manière d'un bassin circonscrit par des parois (arrêts AC.2007.0326 du 17 novembre 2008 consid. 3d; AC.1999.0002 du 25 juin 1999 consid. 12d/cc). En outre, la réglementation concernant les ouvertures en toitures a essentiellement pour objet de protéger l'aspect de celles-ci, en veillant à ce qu'elles ne soient pas dénaturées par des ouvertures trop importantes qui auraient pour seul but d'augmenter les surfaces habitables dans l'espace des combles (arrêt AC.2002.0111 du 10 juillet 2003 consid. 4b). L'art. 40 RPE exclut en l'occurrence clairement toute forme d'ouverture en toiture, à l'exception des lucarnes rampantes et des lucarnes sortantes, pour autant que la plus grande dimension soit placée dans le sens de la pente. Plusieurs vélux projetés, ainsi que la verrière étant plus large que haut, il convient d'emblée de retenir qu'ils contreviennent à l'art 40 RPE. Il en va de même de l'aménagement d'un balcon baignoire, d'une profondeur de 2,05 m et d'une longueur de 3 m, qui d'après les plans d'enquête sera plus large que haut également. La municipalité a dès lors considéré à juste titre que les ouvertures réalisées en toitures étaient contraires à l'art. 40 RPE, ce d'autant plus que, comme elle l'a relevé, les appartements situés dans les combles tirent la majorité de leur éclairage des ouvertures en toiture et non en façade pignon, contrairement à ce qu'exige la réglementation communale. Le recourant se réfère certes à la pratique de la municipalité, qui a autorisé la réalisation de plusieurs balcons baignoires sur le territoire communal. Les exemples mentionnés par le recourant ont trait à des aménagements autorisés il y a plusieurs années. Le principe de la légalité de l'activité administrative ancré à l'art. 5 al. 1 Cst. prévaut sur celui de l'égalité de traitement. Aussi,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(ATF 136 I 65 consid. 5.6 p. 78). La municipalité a indiqué qu'elle n'autorisait désormais plus ce type d'ouverture en toiture. Le recourant ne saurait dès lors tirer argument de l'existence de plusieurs balcons réalisés sur le territoire communal, contrairement au contenu de l'art. 40 RPE. La municipalité a dès lors à juste titre considéré que le projet du recourant était contraire à l'art. 40 RPE.</w:t>
      </w:r>
    </w:p>
    <w:p>
      <w:r>
        <w:rPr>
          <w:b/>
        </w:rPr>
        <w:t>E. 8</w:t>
      </w:r>
    </w:p>
    <w:p>
      <w:r>
        <w:t>Les dispositions cantonales en matière de police du feu sont réservées, notamment l'arrêté du 31.3.76 concernant les prescriptions sur la prévention des incendies." L'art. 37 al. 1 RPE précise que la Municipalité peut accorder des dérogations de minime importance lorsque l'état des lieux présente des problèmes particuliers, notamment en raison de la topographie du terrain, de la forme des parcelles, des accès, de l'intégration des constructions dans l'environnement construit en particulier dans les villages, pour autant qu'il n'en résulte pas d'inconvénient majeur pour les voisins. L'art. 37 al. 2 RPE précise ce qui suit: "Ces dérogations ne peuvent porter que: a) sur les règles concernant la distance entre un bâtiment et la limite de propriété, à condition que celle-ci ne soit pas inférieure à 3 m. Moyennant l'accord écrit du voisin, cette distance peut être réduite. b) Sur les règles concernant la surface minimum ou la proportion entre la surface bâtie ou des planchers et la surface de la parcelle, à condition que cette surface minimum ou cette proportion soit respectée pour l'ensemble formé par la parcelle en cause et une ou plusieurs parcelles contiguës dans la même zone. La modification de la restriction légale doit être mentionnée au Registre foncier avant la délivrance du permis de construire. Elle est opposable à tout acquéreur de droit sur les parcelles concernées." En l'occurrence, les bâtiments ECA n°163a et n°152 sont distants actuellement d'environ six mètres. Ils sont dès lors contraires à l'art. 7 al. 7 RPE. Pour la municipalité, une dérogation au sens de l'art. 37 RPE est exclue, dès lors qu'elle ne peut s'appliquer qu'à la distance à la limite de la propriété, et non à la distance entre bâtiments sis sur une même parcelle.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biens-fonds contigus aient l'impression que la construction voisine les écrase. Elle vise également à garantir un minimum de tranquillité aux habitants (RDAF 2007 I 121, n°24). Les règles sur la distance aux limites et sur la densité des bâtiments tendent aussi à organiser la relation spatiale entre le bâtiment et le terrain. Elles exercent ainsi un effet direct sur l'implantation du bâtiment dans la zone considérée compte tenu de la forme de la parcelle (voir notamment l’arrêt AC.2004.0100 du 27 décembre 2004 consid. 1b). L’ancienne Commission cantonale de recours en matière de construction (CCRC) a précisé dans sa jurisprudence que l'énumération des dispositions auxquelles une dérogation peut être apportée est limitative, et que l’on ne saurait notamment étendre aux prescriptions relatives à la distance entre bâtiment et limites de propriété la possibilité de dérogation prévue quant à la distance entre bâtiments sis sur la même propriété (RDAF 1972, p. 415, prononcé CCRC No 2436 du 6 août 1970). Elle a jugé en revanche, que si le règlement communal autorise une réduction de la distance entre bâtiments et limite de propriété sur les terrains en forte pente, la distance entre bâtiments sur la même propriété peut également être réduite dans la même proportion (RDAF 1969, p. 244; RDAF 1970, p. 150). On peut en l'occurrence se demander si la dérogation prévue à l'art. 37 RPE, pour la distance à la limite de propriété, doit s'appliquer également en ce qui concerne la distance à respecter entre deux bâtiments sis sur une même propriété, ces deux types de règles poursuivant un objectif d’urbanisme similaire. En effet ces deux règles visent à organiser les relations spatiales entre les bâtiments et le terrain, car la règle qui prévoit de doubler la distance à la limite de propriété voisine pour fixer la distance entre bâtiments sur une même parcelle (art. 7 al. 7 RPE) a précisément pour but de permettre un fractionnement ultérieur qui respecte la distance à la limite de propriété, conformément à ce qui est exigé par l’art. 83 LATC. Compte tenu de l'issue du recours, cette question peut toutefois demeurer indécise. Il n'est dès lors pas nécessaire d'examiner si les conditions d'applications de l'art. 80 LATC sont en l'occurrence réunies. Quoi qu'il en soit, il n'est pas certain que la municipalité puisse autoriser, par le biais d'une disposition dérogatoire, une aggravation de l'atteinte existante à la réglementation communale, à supposer qu'on se trouve dans un cas d'application de l'art. 80 LATC (cf. arrêt AC.2013.0401 du 4 mars 2014, consid. 4).</w:t>
      </w:r>
    </w:p>
    <w:p>
      <w:r>
        <w:rPr>
          <w:b/>
        </w:rPr>
        <w:t>E. 9</w:t>
      </w:r>
    </w:p>
    <w:p>
      <w:r>
        <w:t>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137 I 69 consid. 2.5.1 p. 72/73; 131 II 627 consid. 6.1 p. 636; 129 I 161 consid. 4.1 p. 170).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p. 193/194; 131 II 627 consid. 6.1 p. 637; 129 I 161 consid. 4.1 p. 170). b) En l'occurrence, la municipalité n'a donné aucune assurance au recourant. Lors de la séance du 28 janvier 2013, le syndic a en effet simplement indiqué que le projet lui paraissait intéressant, sans toutefois examiner sa légalité. Il a précisé à l'audience s'être toujours montré très prudent dans le cadre de l'examen du projet présenté par le recourant. D'éventuelles promesses du syndic n'engageraient de toute manière pas le corps collégial de la municipalité, qui est l'autorité compétente pour délivrer le permis de construire. Faute de promesses faites par la municipalité, le recourant ne peut ainsi se prévaloir d'une éventuelle attitude contraire aux règles de la bonne foi de la municipalité.</w:t>
      </w:r>
    </w:p>
    <w:p>
      <w:r>
        <w:rPr>
          <w:b/>
        </w:rPr>
        <w:t>E. 10</w:t>
      </w:r>
    </w:p>
    <w:p>
      <w:r>
        <w:t>Le recourant se plaint par ailleurs d'une inégalité de traitement. Il relève qu'un permis de construire a été récemment délivré en vue de la transformation d'un ancien rural, situé au centre du village. a) Une décision viole le principe de l'égalité de traitement, garanti par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p. 127; 131 V 107 consid. 3.4.2 p. 114; 129 I 113 consid. 5.1 p. 125 et les arrêts cités). En outre, le principe de la légalité de l'activité administrative (cf. art. 5 al. 1 Cst.) prévaut en principe sur celui de l'égalité de traitement (ATF 127 II 113 consid. 9 p. 121 et les références citées; 115 Ia 81 consid. 2; 90 I 159 consid. 3 p. 167 ss; arrêt 2P.16/2005 du 9 août 2005 consid. 7.1, non publié in ATF 131 II 627 ; voir aussi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(ATF 115 Ia 81 consid. 2 p. 83 et les références citées). b) Lors de l'audience, le tribunal s'est déplacé sur la parcelle n°38 de la commune de La Chaux, ainsi qu'à ses alentours, afin de constater l'ampleur des travaux réalisés, par rapport à l'état du bâtiment avant les travaux. Après l'audience, le juge instructeur a invité la Municipalité à transmettre le dossier d'enquête relatif à cette construction. D'après les plans d'enquête, il apparaît que la construction en question, même si elle ne s'implante pas strictement dans l'emprise de l'ancien rural, n'a pas augmenté la surface au sol du bâtiment. Celle-ci semble même avoir été réduite. La construction se tient en outre en grande partie, en ce qui concerne la hauteur, dans les gabarits de l'ancien rural. Il y a enfin lieu de relever que les ouvertures en toitures se limitent à des velux de petite dimension. Le tribunal a pu constater que la construction réalisée sur la parcelle n°38 s'intégrait bien dans son environnement, comprenant d'autres constructions d'une volumétrie semblable. A l'inverse, le projet du recourant vise une augmentation de la surface au sol du bâtiment, de même que de la hauteur des bâtiments existants. Quant aux percements en toiture, ils n'ont rien de comparables à ceux réalisés sur la parcelle n°38. Le tribunal ne voit pas dans cette situation une violation du principe d’égalité. A supposer que le projet réalisé sur la parcelle n°38 ne soit pas réglementaire, le recourant ne pourrait se prévaloir d'une inégalité de traitement, le recourant n'ayant pas apporté la preuve que l'autorité intimée entend persévérer dans l'éventuelle inobservation de la loi (cf. consid. 6 ci-dessus).</w:t>
      </w:r>
    </w:p>
    <w:p>
      <w:r>
        <w:rPr>
          <w:b/>
        </w:rPr>
        <w:t>E. 11</w:t>
      </w:r>
    </w:p>
    <w:p>
      <w:r>
        <w:t>Par surabondance, il y a lieu d'examiner si la municipalité pouvait se prévaloir de l'art. 77 LATC pour s'opposer au projet du recourant. a)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 1C_22/2012 du 30 août 2012 consid. 7). b) L'art. 77 LATC prévoit la possibilité de renouveler la demande de permis de construire après un certain délai à partir du premier refus. Lorsque le droit cantonal prévoit l'effet anticipé négatif d'une norme non encore approuvée, et empêche ainsi la construction d'un ouvrage supposé conforme au droit en vigueur, il est nécessaire que cette mesure soit limitée dans le temps (cf. Manuel Bianchi ,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 Droit administratif, vol. I, 2e éd., Berne 1994 p. 182; cf. également ATF 1P.501/2005 du 24 février 2006, consid. 3.1). Cette mesure provisionnelle dure jusqu'à l'adoption du projet de plan ou de norme par l'autorité compétente, pour autant que cette décision intervienne dans un certain délai (ATF 1P.421/2006 du 15 mai 2007 consid. 3.2). c) Pour affirmer que les démarches de la municipalité en vue de réviser son plan général d'affectation et le règlement y afférent ne seraient pas suffisamment concrètes, le recourant se réfère aux précédentes procédure de révision entamées sans succès, alors qu'elles se trouvaient à un stade avancé. Du dossier produit par le SDT, il ressort que l'intention de la municipalité de réviser sa planification est assez ancienne. Le SDT a en effet été amené à effectuer un examen préalable le 26 février 2008. Le projet de PGA a en outre fait l'objet d'examens complémentaires les 9 octobre 2009, 17 mai 2010 et 3 décembre 2010. Alors que le projet était quasiment abouti, la municipalité a fait savoir au SDT, le 1 er novembre 2011, qu'elle avait décidé de changer de mandataire. La municipalité a expliqué de manière détaillée les motifs pour lesquels elle n'avait pas tenu à mettre à l'enquête publique le projet de PGA à l'issue du dernier examen complémentaire, du 3 décembre 2010. Dans ce contexte, la municipalité a remanié son PGA. Elle a transmis son dossier au SDT en février 2014, pour le dernier examen préalable avant la mise à l'enquête publique. Dans ces circonstances, il convient d'admettre que la procédure de révision se trouve à un stade suffisamment avancé pour que la municipalité puisse se prévaloir de l'art. 77 LATC. L'actuel PGA a été approuvé par le Conseil d'Etat dans sa séance du 29 octobre 1980. La municipalité a expliqué que le projet de PGA visait à lui donner des outils supplémentaires pour préserver le village de La Chaux, qui figure à l'ISOS comme village d'importance nationale. Or, la première version de l'inventaire date de 1991, soit après l'entrée en vigueur de l'actuel PGA. Dans la mesure où la révision du PGA tend précisément à mieux intégrer des nouvelles constructions dans le tissu bâti et à donner ainsi à la municipalité les moyens de mieux préserver les qualités esthétiques du tissu bâti existant, la révision répond à un besoin de planification. La présente cause montre en effet les difficultés de compréhension de la portée particulière de l’art. 15 RPE pour le constructeur, dès lors que cette disposition doit être mise en relation avec l’inventaire ISOS, les exigence spécifiques d’intégration accrues résultant directement du droit fédéral (art. 17 al. 1 c) et l’utilisation des critères du recensement architectural pour l’interprétation et l’application de cette norme. Bien que les conditions de l'art. 77 LATC semblaient remplies pour refuser de délivrer le permis de construire si le projet était conforme à la réglementation actuelle, cette disposition n’entre toutefois pas en ligne de compte dès lors que le permis de construire doit être refusé pour des motifs tenant à la non-conformité du projet de la réglementation communale en vigueur (voir les consid. 4-5 et 7 ci-dessus).</w:t>
      </w:r>
    </w:p>
    <w:p>
      <w:r>
        <w:rPr>
          <w:b/>
        </w:rPr>
        <w:t>E. 12</w:t>
      </w:r>
    </w:p>
    <w:p>
      <w:r>
        <w:t>Les considérants qui précèdent conduisent au rejet du recours. Les frais sont mis à la charge du recourant, qui succombe. Celui-ci versera en outre une indemnité à titre de dépens à l'autorité intimée, qui est intervenue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