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AC.2013.0338 vom 13. Februar 2014</w:t>
      </w:r>
    </w:p>
    <w:p>
      <w:r>
        <w:t>VD Tribunal cantonal, 2014-02-13, FR</w:t>
      </w:r>
    </w:p>
    <w:p>
      <w:r>
        <w:rPr>
          <w:b/>
        </w:rPr>
        <w:t xml:space="preserve">Quelle: </w:t>
      </w:r>
      <w:r>
        <w:t>https://mcp.opencaselaw.ch/entscheid/vd_omni_AC.2013.0338</w:t>
      </w:r>
    </w:p>
    <w:p>
      <w:r>
        <w:t>FR: VD_OMNI AC.2013.0338 du 13 février 2014</w:t>
      </w:r>
    </w:p>
    <w:p>
      <w:r>
        <w:t>IT: VD_OMNI AC.2013.0338 del 13 febbraio 2014</w:t>
      </w:r>
    </w:p>
    <w:p>
      <w:pPr>
        <w:pStyle w:val="Heading2"/>
      </w:pPr>
      <w:r>
        <w:t>Regeste</w:t>
      </w:r>
    </w:p>
    <w:p>
      <w:r>
        <w:t>BRACK, VANSIER/Municipalité de St-Cergue | Couvert projeté à 90 cm de la voie publique. La commune a adopté un plan qui fixe, pour la parcelle en cause, une limite des constructions plus sévère que celle qui découlerait de l'art. 36 LRou. C'est donc la limite des constructions fixée par la réglementation communale qui doit être prise en considération. Or, la construction projetée ne respecte, et de loin pas, cette dernière. Une dérogation n'est par ailleurs pas envisageable. Si la situation devait être examinée sous l'angle de l'art. 37 LRou, la distance à la limite ne serait pas non plus respectée et une dérogation pas non plus envisageable. Recours rejeté.</w:t>
      </w:r>
    </w:p>
    <w:p>
      <w:pPr>
        <w:pStyle w:val="Heading2"/>
      </w:pPr>
      <w:r>
        <w:t>Erwägungen</w:t>
      </w:r>
    </w:p>
    <w:p>
      <w:r>
        <w:rPr>
          <w:b/>
        </w:rPr>
        <w:t>E. 1</w:t>
      </w:r>
    </w:p>
    <w:p>
      <w:r>
        <w:t>A défaut de plan fixant la limite des constructions et sous réserve de l'alinéa 4,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w:t>
      </w:r>
    </w:p>
    <w:p>
      <w:r>
        <w:rPr>
          <w:b/>
        </w:rPr>
        <w:t>E. 2</w:t>
      </w:r>
    </w:p>
    <w:p>
      <w:r>
        <w:t>La distance est calculée par rapport à l'axe de la chaussée, délimitée par les voies de circulation principales.</w:t>
      </w:r>
    </w:p>
    <w:p>
      <w:r>
        <w:rPr>
          <w:b/>
        </w:rPr>
        <w:t>E. 3</w:t>
      </w:r>
    </w:p>
    <w:p>
      <w:r>
        <w:t>Aux abords des carrefours, les distances à observer sont déterminées par le département ou par la municipalité selon qu'il s'agit de routes cantonales ou communales.</w:t>
      </w:r>
    </w:p>
    <w:p>
      <w:r>
        <w:rPr>
          <w:b/>
        </w:rPr>
        <w:t>E. 4</w:t>
      </w:r>
    </w:p>
    <w:p>
      <w:r>
        <w:t>Vu les considérants qui précèdent, le recours doit être rejeté et la décision de la municipalité du 24 juillet 2013 confirmée. Compte tenu de l'issue de la cause, des frais seront mis à la charge des recourants (art. 49 al. 1 de la loi du 28 octobre 2008 sur la procédure administrative [LPA-VD; RSV 173.36] ).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