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AC.2013.0332 vom 28. Februar 2014</w:t>
      </w:r>
    </w:p>
    <w:p>
      <w:r>
        <w:t>VD Tribunal cantonal, 2014-02-28, FR</w:t>
      </w:r>
    </w:p>
    <w:p>
      <w:r>
        <w:rPr>
          <w:b/>
        </w:rPr>
        <w:t xml:space="preserve">Quelle: </w:t>
      </w:r>
      <w:r>
        <w:t>https://mcp.opencaselaw.ch/entscheid/vd_omni_AC.2013.0332</w:t>
      </w:r>
    </w:p>
    <w:p>
      <w:r>
        <w:t>FR: VD_OMNI AC.2013.0332 du 28 février 2014</w:t>
      </w:r>
    </w:p>
    <w:p>
      <w:r>
        <w:t>IT: VD_OMNI AC.2013.0332 del 28 febbraio 2014</w:t>
      </w:r>
    </w:p>
    <w:p>
      <w:pPr>
        <w:pStyle w:val="Heading2"/>
      </w:pPr>
      <w:r>
        <w:t>Regeste</w:t>
      </w:r>
    </w:p>
    <w:p>
      <w:r>
        <w:t>GIRAUDI/Municipalité de Montreux, GENECO SA / Pierre Etoile SA, ECA | Autorisation préalable d'implantation délivrée pour 5 villas de 12 appartements sur un coteau dominant la ville de Montreux, en aval de la gare de Glion. Constat que, en ce qui concerne l'implantation et la volumétrie, les constructions prévues respectent des orientations et une typologie qui existe déjà. Pour ce qui est de l'impact sur le paysage du coteau de Glion, constat que le fait de réaliser plusieurs constructions formant un ensemble plutôt que des constructions isolées est plutôt favorable. Rejet des griefs des recourants relatifs à l'esthétique et l'intégration des futures constructions (consid. 2). Dès lors qu'une expertise confirme la constructibilité des parcelles, l'autorisation préalable d'implantation ne pouvait pas être refusée au motif que l'on se trouve dans une zone de danger naturel. Au surplus, l'autorisation préalable d'implantation prévoit qu'une étude géotechnique devra être effectuée dans le cadre de la procédure de permis de construire, étude qui fera partie du dossier d'enquête (consid. 3).</w:t>
      </w:r>
    </w:p>
    <w:p>
      <w:pPr>
        <w:pStyle w:val="Heading2"/>
      </w:pPr>
      <w:r>
        <w:t>Erwägungen</w:t>
      </w:r>
    </w:p>
    <w:p>
      <w:r>
        <w:rPr>
          <w:b/>
        </w:rPr>
        <w:t>E. 1</w:t>
      </w:r>
    </w:p>
    <w:p>
      <w:r>
        <w:t>Le litige concerne une autorisation préalable d'implantation au sens de l'art. 119 de la loi du 4 décembre 1985 sur l'aménagement du territoire et les constructions (LATC; RSV 700.11). L'art. 119 LATC permet au constructeur de requérir avant la mise à l'enquête publique du projet de construction une autorisation préalable d'implantation (al. 1). L'autorisation préalable est périmée si elle n'est pas suivie d'une demande de permis de construire dans les deux ans qui suivent sa délivrance (al. 2). Elle ne couvre que les éléments mis à l'enquête publique (al. 3). En statuant sur une demande préalable d'implantation, l'autorité communale doit trancher des questions de principe liées à l'édification de la construction, en particulier le droit de construire, l'emplacement, le type d'ouvrage et les rapports de surface (ATF 101 Ia 213 consid. 3a, p. 215-216; AC 2004.0109 du 16 mars 2005 consid. 3a; AC 2001.0157 du 22 mai 2002 consid. 2). Le permis d'implantation tend ainsi à procurer, après enquête publique, une autorisation réglant en principe non seulement les questions de l'implantation proprement dite, mais aussi celles de volume, de hauteur, voire d'affectation de l'ouvrage projeté (ATF 101 Ia 213 consid. 3c, p. 217).</w:t>
      </w:r>
    </w:p>
    <w:p>
      <w:r>
        <w:rPr>
          <w:b/>
        </w:rPr>
        <w:t>E. 2</w:t>
      </w:r>
    </w:p>
    <w:p>
      <w:r>
        <w:t>Elle refuse le permis pour les constructions et les démolitions susceptibles de compromettre l'aspect et le caractère d'un site, d'une localité, d'un quartier ou d'une rue, ou de nuire à l'aspect d'un édifice de valeur historique, artistique ou culturelle.</w:t>
      </w:r>
    </w:p>
    <w:p>
      <w:r>
        <w:rPr>
          <w:b/>
        </w:rPr>
        <w:t>E. 3</w:t>
      </w:r>
    </w:p>
    <w:p>
      <w:r>
        <w:t>Les recourants soutiennent que le projet n'est pas admissible dès lors qu'il est prévu dans une zone de danger naturel et plus particulièrement de glissements de terrain. Ils mentionnent la présence en amont de trois constructions habitées et de la ligne de chemin de fer à crémaillères. Ils font état d'éboulements qui se seraient produits récemment sur le coteau et auraient nécessité d'importants travaux de soutènement. Ils soutiennent plus particulièrement que la réalisation de garages souterrains impliquant de creuser à 15 m de profondeur n'est pas envisageable dans ce terrain. a) L'autorisation préalable d'implantation qui fait l'objet du litige aurait sans aucun doute dû être refusée s'il était établi que les parcelles n os 5737, 5752 et 6358 ne sont pas constructibles en raison des dangers naturels auxquels elles sont exposées. Tel n'est toutefois pas le cas en l'espèce. La constructibilité des parcelles n'est en effet mise en cause ni par l'étude effectuée par le bureau CSD ni par l'ECA. Compte tenu d'un risque de glissements superficiels spontanés, l'ECA demande uniquement dans son autorisation spéciale qu'une étude géotechnique soit effectuée en recommandant que celle-ci soit réalisée préalablement à la demande de permis de construire et soit jointe au dossier d'enquête publique. La municipalité a repris cette exigence en assortissant le permis préalable d'implantation d'une charge aux termes de laquelle les constructrices devront réaliser au moment de la demande de permis de construire une étude géotechnique prouvant que les parcelles sont constructibles en sous-sol jusqu'à 15 m de profondeur. On peut relever que l'exigence posées en l'espèce par la municipalité s'agissant de l'étude géotechnique va au-delà de ce qui est exigé usuellement. En effet,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en principe partie des prestations relatives à l'établissement des plans d'exécution de l'ouvrage; selon la jurisprudence,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a ainsi été jugé de manière constante qu’il est contraire au principe de proportionnalité d'exiger au stade de la procédure de demande de permis de construire l'établissement d'un rapport géologique et géotechnique complet (cf. notamment arrêts AC.2010.0064 du 15 novembre 2012; AC.2010.0076 du 20 octobre 2010 et les références), sous réserve de l’hypothèse où des indices sérieux font penser que le terrain ne se prête pas à la construction ou qu'il impose des précautions spéciales (arrêt AC.2011.0320 du 31 juillet 2010 et les références). b) En l'occurrence, la municipalité a exigé que, compte tenu des caractéristiques du site, l'étude géotechnique soit réalisée dans le cadre de la procédure de permis de construire, ce qui implique que celle-ci fera partie du dossier d'enquête publique. A cet égard, le permis préalable d'implantation ne prête pas le flanc à la critique et les griefs des recourants relatifs aux dangers naturels doivent par conséquent être écartés.</w:t>
      </w:r>
    </w:p>
    <w:p>
      <w:r>
        <w:rPr>
          <w:b/>
        </w:rPr>
        <w:t>E. 4</w:t>
      </w:r>
    </w:p>
    <w:p>
      <w:r>
        <w:t>Il résulte des considérants que le recours doit être rejeté et la décision attaquée être confirmée. Vu le sort du recours, les frais de la cause sont mis à la charge des recourants. Ces derniers verseront en outre des dépens aux constructrices,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