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AC.2013.0305 vom 28. August 2014</w:t>
      </w:r>
    </w:p>
    <w:p>
      <w:r>
        <w:t>VD Tribunal cantonal, 2014-08-28, FR</w:t>
      </w:r>
    </w:p>
    <w:p>
      <w:r>
        <w:rPr>
          <w:b/>
        </w:rPr>
        <w:t xml:space="preserve">Quelle: </w:t>
      </w:r>
      <w:r>
        <w:t>https://mcp.opencaselaw.ch/entscheid/vd_omni_AC.2013.0305</w:t>
      </w:r>
    </w:p>
    <w:p>
      <w:r>
        <w:t>FR: VD_OMNI AC.2013.0305 du 28 août 2014</w:t>
      </w:r>
    </w:p>
    <w:p>
      <w:r>
        <w:t>IT: VD_OMNI AC.2013.0305 del 28 agosto 2014</w:t>
      </w:r>
    </w:p>
    <w:p>
      <w:pPr>
        <w:pStyle w:val="Heading2"/>
      </w:pPr>
      <w:r>
        <w:t>Regeste</w:t>
      </w:r>
    </w:p>
    <w:p>
      <w:r>
        <w:t>GLEYRE/Municipalité de Morges, Service Immeubles, Patrimoine et Logistique | Admissibilité dans le cadre de la réglementation restrictive du Centre historique de Morges, de la création d’une ouverture en toiture sous forme d’un « Vélux » de dimensions modestes, assurant l’éclairage naturel de l’escalier permettant d’accéder aux combles. Confirmation de l’ordre de rétablissement de la situation réglementaire concernant la création d’un balcon situé dans le prolongent de deux lucarnes hautes, les travaux de remise en état devant toutefois être limités à ce qui est nécessaire pour maintenir l’aspect traditionnel des toitures dans la vieille ville.</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a) La préservation de la nature, des sites et des monuments concourt à réaliser une occupation du territoire propre à garantir un développement harmonieux de l'ensemble du pays (art. 1 al. 1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 Moor , Commentaire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 LAT, art. 17, no 7). b) La mise en œuvre des mesures de protection prises en application de l'art. 17 LAT se heurte à la fragilité de l'intérêt public à la protection du patrimoine. La mise sous protection a en principe pour effet de soustraire les parcelles concernées à une utilisation économique ou du moins d'en réduire les possibilités d'utilisation. La mise en place de mesures de protection nécessite donc une volonté politique claire et forte qui leur assure une légitimité suffisante; c'est la raison pour laquelle certaines législations cantonales placent la compétence de prendre des mesures de protection dans les attributions d'une autorité cantonale qui bénéficie de la distance nécessaire pour faire prévaloir l'intérêt général sur les intérêts locaux particuliers. Ces considérations sur la fragilité de la mise en œuvre de l'intérêt public à la protection du patrimoine ont justifié les facultés d'intervention offertes aux organisations à but idéal dont le but statutaire se rapporte à la protection du patrimoine ou à celle de l'environnement (Moor, Commentaire LAT, art. 17, nos 15 à 18). C’est pourquoi l’art. 90 de la loi sur la protection de la nature des monuments et des sites du 10 décembre 1969 (LPNMS; RSV 450.11) accorde aux associations d'importance cantonale, qui se vouent à la protection de la nature, des monuments et des sites, la qualité pour recourir contre les décisions prises en application de cette loi (voir l’arrêt AC.2000.0122 du 9 septembre 2004 consid. 1).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 en premier lieu. Non seulement elle permet d'établir clairement la protection, son but, son principe et son régime, mais elle assure également la coordination avec les autres intérêts à prendre en considération dans les procédures d'aménagement du territoire ( Moor ,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 LAT, art. 17, no 80). Par exemple, l'instrument de la zone n'est pas adapté lorsque la mesure de protection nécessite d'imposer une obligation de faire; notamment l'obligation d'entretenir le bâtiment protégé ou encore les travaux de restauration à entreprendre pour assurer son développement ou sa mise en valeur ( Moor ,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3</w:t>
      </w:r>
    </w:p>
    <w:p>
      <w:r>
        <w:t>a) En droit vaudois, la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Par ailleurs, l'art. 86 LATC comporte une « clause d’esthétique », qui invite la municipalité à veiller à ce que les constructions présentent un aspect architectural satisfaisant et s'intègrent à l'environnement (al. 1), et lui attribue la compétence de refuser le permis pour les constructions ou les démolitions susceptibles de compromettre l'aspect et le caractère d'un site, d'une localité, d'un quartier ou d'une rue ou de nuire à l'aspect d'un édifice d'une valeur historique, artistique ou culturelle (al. 2). Cette disposition fait donc partie des autres mesures réservées par l’art. 17 al. 2 LAT pour protéger les localités typiques. b) La LPNMS fait aussi partie des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c)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 d'affectation ou la clause d'esthétique ne permettent pas d'atteindre les objectifs de protection et de conservation recherchés (voir notamment les arrêts AC.2010.0141 du 16 novembre 2011, consid. 3d; AC.2006.0162 du 31 janvier 2008 consid. 2c/dd; AC.2005.0048 du 8 février 2006, consid. 2d; AC.2005.0212 du 28 juin 2006, consid. 2b; AC.2004.0003 du 29 décembre 2005, consid. 2d; AC.2001.0220 du 17 juin 2004 consid. 3c/dd/ccc; et AC.2000.0122, du 9 septembre 2004 consid. 3d).</w:t>
      </w:r>
    </w:p>
    <w:p>
      <w:r>
        <w:rPr>
          <w:b/>
        </w:rPr>
        <w:t>E. 4</w:t>
      </w:r>
    </w:p>
    <w:p>
      <w:r>
        <w:t>a) En l’espèce, la Ville de Morges est inscrite à un inventaire fédéral d’objets d’importance nationale au sens de l’art. 5 de la loi fédérale sur la protection de la nature et du paysage du 1er juillet 1966 (LPN; RS 451). L’annexe à l’ordonnance concernant l'Inventaire fédéral des sites construits à protéger en Suisse du 9 septembre 1981 (OISOS; RS 451.12), répertorie la ville de Morges comme site construit d’importance nationale. La vieille ville de Morges, en particulier, fait partie des "localités typiques, lieux historiques, et monuments naturels ou culturels", pour lesquels les cantons doivent prévoir des mesures de protection en application de l’art. 17 al. 1 let. c LAT. b) La commune de Morges, dans son plan général d’affectation approuvé par le Conseil d’Etat le 2 mars 1990, a prévu une zone à protéger sur son centre historique en application des art. 17 al. 1 let. c LAT et 47 al. 2 ch. 2 LATC. Cette zone est divisée en deux secteurs, soit la zone de protection du centre historique, régie par les art. 6 et 7 du règlement sur le plan d’affectation et la police des constructions du 2 mars 1990 également (RPA) ainsi que la zone du centre historique, soumise aux art. 8 à 16 RPA. L’art.</w:t>
      </w:r>
    </w:p>
    <w:p>
      <w:r>
        <w:rPr>
          <w:b/>
        </w:rPr>
        <w:t>E. 7</w:t>
      </w:r>
    </w:p>
    <w:p>
      <w:r>
        <w:t>Il résulte des considérants qui précèdent que le recours doit être partiellement admis. En ce qui concerne la réparation des frais et dépens, le tribunal constate que la procédure a été provoquée par le comportement du recourant, qui s’est écarté délibérément du permis de construire sur les deux points contestés, qu’il était conscient de la valeur historique de l’immeuble en ayant requis avant même l’acquisition du bâtiment un avis de l’historien Paul Biessegger, qu’il a participé aux différentes séances de travail avec les représentants de la commune et du canton et qu’il connaissait les exigences des autorités communale et cantonale concernant les limites des travaux de rénovation admissibles. Compte tenu de l’ensemble de ces circonstances, il y a lieu de mettre les frais de justice ainsi que les dépens à la charge du recourant, en application des art. 49 al. 2 et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