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AC.2013.0290 vom 28. April 2015</w:t>
      </w:r>
    </w:p>
    <w:p>
      <w:r>
        <w:t>VD Tribunal cantonal, 2015-04-28, FR</w:t>
      </w:r>
    </w:p>
    <w:p>
      <w:r>
        <w:rPr>
          <w:b/>
        </w:rPr>
        <w:t xml:space="preserve">Quelle: </w:t>
      </w:r>
      <w:r>
        <w:t>https://mcp.opencaselaw.ch/entscheid/vd_omni_AC.2013.0290</w:t>
      </w:r>
    </w:p>
    <w:p>
      <w:r>
        <w:t>FR: VD_OMNI AC.2013.0290 du 28 avril 2015</w:t>
      </w:r>
    </w:p>
    <w:p>
      <w:r>
        <w:t>IT: VD_OMNI AC.2013.0290 del 28 aprile 2015</w:t>
      </w:r>
    </w:p>
    <w:p>
      <w:pPr>
        <w:pStyle w:val="Heading2"/>
      </w:pPr>
      <w:r>
        <w:t>Regeste</w:t>
      </w:r>
    </w:p>
    <w:p>
      <w:r>
        <w:t>Société coopérative de construction et d'habitation DOMUS/Municipalité de Prilly, ECA | Refus de délivrer le permis d'habiter un bâtiment locatif, la municipalité exigeant préalablement la mise en conformité de plusieurs éléments de construction réalisés dans le bâtiment, soit trente-deux portes intérieures coupe-feu EI30, ainsi que le revêtement du plafond de la cage d’escalier et du garde-corps par des lames d’Epicéa. Recours contre cette décision admis; la municipalité ne pouvait refuser le permis d'habiter et exiger la remise en état des lieux avant de statuer sur la dérogation requise par le constructeur d'installer ces éléments de construction ou, à défaut, avant d'avoir ouvert une procédure d'homologation des portes coupe-feu et du revêtement du plafond de la cage d'escalier.</w:t>
      </w:r>
    </w:p>
    <w:p>
      <w:pPr>
        <w:pStyle w:val="Heading2"/>
      </w:pPr>
      <w:r>
        <w:t>Erwägungen</w:t>
      </w:r>
    </w:p>
    <w:p>
      <w:r>
        <w:rPr>
          <w:b/>
        </w:rPr>
        <w:t>E. 1</w:t>
      </w:r>
    </w:p>
    <w:p>
      <w:r>
        <w:t>Sur le plan procédural, la constructrice a requis du Tribunal la tenue d’une audience, aux fins de pouvoir faire entendre le Plt Philippe Sandoz. a) Les parties ont le droit d'être entendues (art. 29 al. 2 de la Constitution fédérale de la Confédération suisse, du 18 avril 1999 [ Cst.; RS 101 ] et 27 al. 2 de la Constitution du Canton de Vaud, du 14 avril 2003 [ Cst.-VD; RSV 101.01 ] ).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Il n’est fait exception à cette règle que lorsque l'autorité envisage de fonder sa décision sur une norme ou un motif juridique non évoqué dans la procédure antérieure et dont aucune partie en présence ne s'est prévalue et ne pouvait supputer la pertinence, que la situation juridique a changé ou que l'autorité dispose d'un pouvoir d'appréciation particulièrement étendu (ATF 129 II 497 consid. 2.2 p. 505). En outre, l'autorité peut renoncer au moyen de preuve offert par une partie, pour autant qu'elle puisse admettre sans arbitraire que ce moyen n'aurait pas changé sa conviction (ATF 131 I 153 consid. 3 p. 157; 130 II 425 consid. 2.1 p. 429; 124 I 241 consid. 2 p. 242, et les arrêts cités). Pour le surplus, les parties à la procédure de recours ont le droit de recevoir toutes les écritures déposées et disposent en principe du droit de répliquer aux arguments des parties adverses (ATF 133 I 98, 100; ATF 2C_688/2007 du 11 février 2008). Devant la Cour de droit administratif et public du Tribunal cantonal, la procédure est en principe écrite (art. 27 al. 1 de la loi cantonale du 28 octobre 2008 sur la procédure administrative [ LPA-VD; RSV 173.36 ]) . Les parties participent à l'administration des preuves (art. 34 al. 1 LPA-VD). L’autorité peut recourir à l’audition des parties, à l’inspection locale et aux témoignages (art. 29 al. 1 let. a, b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122 II 464 consid. 4c p. 469/470). b) En l’espèce, le Tribunal s’en tiendra à une procédure exclusivement écrite. Le dossier de la cause est complet et les éléments figurant au dossier, notamment les plans de situation, de même que la correspondance échangée entre les parties, permettent aisément au Tribunal de se faire une idée complète et précise des faits pertinents. Ainsi, tous les éléments de fait déterminants ressortent du dossier. A cela s’ajoute que le litige a trait à des questions d’ordre exclusivement juridique, que le Tribunal examine avec un plein pouvoir d’examen (art. 76 LPA-VD). Dès lors, par appréciation anticipée des preuves, le Tribunal s’estime en mesure de statuer en connaissance de cause et renoncera en conséquence à tenir une audience, sans qu’il n’en résulte une violation du droit d’être entendu des parties (dans le même sens, arrêts AC.2014.0108 du 21 octobre 2014; AC.2013.0366 du 25 mars 2014; AC.2010.0284 du 11 juillet 2012; v. également dans ce sens, arrêts GE.2012.0105 du 29 octobre 2012; GE.2008.0109 du 29 avril 2009).</w:t>
      </w:r>
    </w:p>
    <w:p>
      <w:r>
        <w:rPr>
          <w:b/>
        </w:rPr>
        <w:t>E. 2</w:t>
      </w:r>
    </w:p>
    <w:p>
      <w:r>
        <w:t>Il ne fait guère de doute que la correspondance de l’autorité intimée du 3 juin 2013, à laquelle la recourante s’en prend dans la présente procédure doit être considérée comme une décision. On rappelle à cet égard qu’est une décision aux termes de l’art. 3 al. 1 LPA-VD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Or, en constatant que les conditions de sa délivrance n’étaient pas remplies, l’autorité intimée a refusé de délivrer à la recourante le permis d’habiter le bâtiment locatif construit. L’on se trouve aussi bien dans l’hypothèse visée à l’art. 3 al. 1 let. b LPA-VD qu’à celle visée à la lettre c de dite disposition. Dès lors, il importe d’entrer en matière sur le recours.</w:t>
      </w:r>
    </w:p>
    <w:p>
      <w:r>
        <w:rPr>
          <w:b/>
        </w:rPr>
        <w:t>E. 2.1</w:t>
      </w:r>
    </w:p>
    <w:p>
      <w:r>
        <w:t>Mise sur le marché L'admission sur le marché des produits de construction et leur mise à disposition conformément à la loi fédérale sur les produits de construction (no 933.0) sont du ressort de la Confédération. Le même principe s’applique pour les équipements.</w:t>
      </w:r>
    </w:p>
    <w:p>
      <w:r>
        <w:rPr>
          <w:b/>
        </w:rPr>
        <w:t>E. 2.2</w:t>
      </w:r>
    </w:p>
    <w:p>
      <w:r>
        <w:t>Utilisation (voir annexe) 1 L'autorité de protection incendie statue sur l'aptitude à l'emploi des produits de protection incendie dans les bâtiments et autres ouvrages au regard de la protection incendie, sur les méthodes de preuves en protection incendie et sur la reconnaissance des entreprises et des personnes spécialisées en protection incendie. 2 Pour statuer sur l’utilisation des produits de protection incendie, l'autorité de protection incendie s'appuie sur les preuves suivantes: a pour les produits de construction recensés dans une norme européenne harmonisée ou ayant fait l’objet d’une évaluation technique européenne: déclarations de performance concernant les exigences fonctionnelles de la «sécurité en cas d'incendie», conformément à la loi sur les produits de construction; b pour tous les autres produits: attestations d’essai, certificats et attestations de conformité d’organismes de contrôle et de certification accrédités ainsi que le répertoire de protection incendie de l’AEAI. 3 Toute personne souhaitant faire procéder à la reconnaissance ou au renseignement technique d’un produit de protection incendie par l’AEAI et à une inscription au répertoire de protection incendie de l’AEAI peut en faire la demande auprès de l’AEAI. 3 Reconnaissance de produits de protection incendie</w:t>
      </w:r>
    </w:p>
    <w:p>
      <w:r>
        <w:rPr>
          <w:b/>
        </w:rPr>
        <w:t>E. 2.3</w:t>
      </w:r>
    </w:p>
    <w:p>
      <w:r>
        <w:t>Utilisation 1 Les décisions relatives à l’utilisation des produits de protection incendie et à la reconnaissance des entreprises spécialisées en protection incendie sont prises par les autorités de protection incendie. 2 Celles-ci s'appuient sur le Répertoire suisse de la protection incendie de l'AEAI, sur les rapports d'essai et les certificats des laboratoires d'essai et des organismes de certification accrédités ou sur les attestations de conformité. 3 L’AEAI est chargée par les autorités de protection incendie de mener la procédure de reconnaissance des produits de protection incendie et des entreprises spécialisées en la matière. 3 Reconnaissance de produits de protection incendie</w:t>
      </w:r>
    </w:p>
    <w:p>
      <w:r>
        <w:rPr>
          <w:b/>
        </w:rPr>
        <w:t>E. 3</w:t>
      </w:r>
    </w:p>
    <w:p>
      <w:r>
        <w:t>Le recours a trait au refus de l’autorité intimée de délivrer le permis d’habiter le bâtiment construit par la recourante. Faisant suite au rapport de la Commission communale de salubrité, l’autorité intimée exige, préalablement à cette délivrance, la mise en conformité de plusieurs éléments de construction réalisés dans le bâtiment. La recourante s’en prend à cette décision exclusivement en tant qu’elle refuse l’homologation des trente-deux portes intérieures coupe-feu EI30 et du revêtement du plafond de la cage d’escalier et du garde-corps par des lames d’Epicéa. a) Aux termes de l'art. 128 al. 1 de la loi sur l’aménagement du territoire et les constructions du 4 décembre 1985 (LATC; RSV 700.11): 1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En outre, l'art. 79 al. 1 du règlement d'application de la LATC du 19 septembre 1986 (RLATC; RSV 700.11.1) prévoit ceci: 1 Le permis d'habiter ou d'utiliser ne peut être délivré que: a.       si les locaux satisfont aux conditions fixées par la loi et les règlements; b.       si la construction est conforme aux plans approuvés et aux conditions posées dans le permis de construire; c.       si les travaux extérieurs et intérieurs sont suffisamment achevés pour assurer la sécurité et la santé des habitants ou des utilisateurs; d.       si l'équipement du terrain est réalisé. L'institution du permis d'habiter est uniquement destinée à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Elle permet ainsi de sanctionner le propriétaire qui n'aurait pas respecté les plans et les conditions posées dans le permis de construire. Le permis d'habiter est lié à la procédure de permis de construire; il représente un constat final de la conformité des travaux à la loi et aux règlements (arrêts AC.2011.0305 du 20 novembre 2012 consid. 2a; AC.2010.0015 du 26 janvier 2011 consid. 1a; AC.2007.0308 du 27 août 2008 consid. 2a; AC.2007.0047 du 6 septembre 2007 consid. 1; AC.1997.0224 du 3 juin 1999 consid. 1b; prononcé n° 3103 du 17 décembre 1975 dans la cause Suzanne Musy et consorts c. Municipalité de Noville , in RDAF 1978 p. 266, p. 267; Benoît Bovay/Denis Sulliger, Aménagement du territoire, droit public des constructions et permis de construire, Jurisprudence rendue en 2007 par le Tribunal administratif du canton de Vaud, in : RDAF 2008 I p. 215, n° 89 p. 282; Benoît Bovay, Le permis de construire en droit vaudois, Lausanne 1986, pp. 205 s.). Il ne s'agit toutefois pas de vérifier une nouvelle fois si les dispositions réglementaires ont été respectées, cet examen ayant déjà eu lieu lors de la délivrance du permis de construire (arrêt AC.2010.0219 du 12 juin 2012). b) Selon les art. 105 al. 1 et 130 al. 2 LATC, la municipalité, et à son défaut, le département compétent, est en droit de faire supprimer ou modifier,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arrêt AC.2012.0034 du 25 juin 2012 consid. 3a; Benoît Bovay, Le permis de construire en droit vaudois, 2 ème édition, Lausanne 1988, p. 200). Par démolition, il faut entendre non seulement la démolition proprement dite de travaux effectués sans droit, mais aussi la remise en état des lieux (AC.2012.0034 précité consid. 3a et les références).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Le respect du principe de la proportionnalité exige qu'il soit procédé à une pesée des intérêts public et privé opposés ( principe de la proportionnalité au sens étroit, impliquant une pesée des intérêts en présence; ATF 137 I 167 consid. 3.6; 136 I 87 consid. 3.2, 197 consid. 4.4.4, et les arrêts cités) . Même un constructeur qui n'est pas de bonne foi peut invoquer le principe de proportionnalité (AC.2012.0034 précité consid. 3a). Selon la jurisprudence, l'ordre de démolir une construction illicite n'est en soi pas contraire au principe de la proportionnalité. Celui qui place l'autorité devant un fait accompli doit s'attendre à ce qu'elle se préoccupe plus de rétablir une situation conforme au droit que d'éviter les inconvénients qui en découlent pour lui (ATF 123 II 248 consid. 4a; 111 Ib 213 consid. 6b et la jurisprudence citée).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3a/bb; 111 Ib 213 consid. 6b; 102 Ib 64 consid. 4). c ) Dès lors que la municipalité refuse la délivrance du permis d'habiter et exige la mise en conformité et le remplacement des trente-deux portes intérieures coupe-feu, ainsi que du revêtement du plafond de la cage d’escalier et du garde-corps, il convient de déterminer dans quelle mesure ces travaux sont ou non réglementaires et, le cas échéant, si une remise en état se justifie.</w:t>
      </w:r>
    </w:p>
    <w:p>
      <w:r>
        <w:rPr>
          <w:b/>
        </w:rPr>
        <w:t>E. 3.1</w:t>
      </w:r>
    </w:p>
    <w:p>
      <w:r>
        <w:t>Conditions d'obtention 1 Sur demande, l’AEAI peut reconnaître des produits de protection incendie conformément au chiffre 2.2, al. 2b. 2 La reconnaissance par l’AEAI est indispensable pour l’inscription au répertoire de protection incendie de l’AEAI. La reconnaissance donnée par l’AEAI confirme qu’un produit de protection incendie satisfait aux exigences techniques de protection incendie et qu’il peut être utilisé conformément aux dispositions des prescriptions de protection incendie, qui ont un caractère obligatoire. 3 Pour obtenir une reconnaissance par l’AEAI, le demandeur doit fournir la preuve que le produit de protection incendie satisfait aux prescriptions de protection incendie, qui ont un caractère obligatoire. Pour les produits qui ne sont pas recensés dans une norme harmonisée ou qui n’ont pas fait l’objet d’une évaluation technique européenne (ETE), l’AEAI accepte les preuves suivantes: rapports d’essai, certificats et attestations de conformité d’organismes de contrôle et de certification accrédités. En l’absence de tels documents, la preuve peut aussi être apportée en se basant sur l’expérience et l’état de la technique, sur les résultats d’essai existants, sur la détermination par le calcul selon des procédures validées ou sur d’autres procédés de classification (à l’instar de CWFT, Classification Without Further Testing). 4 Pour chaque catégorie de produits, l’AEAI publie régulièrement la liste des normes européennes applicables, des spécifications d’essais reconnues et des preuves nécessaires.</w:t>
      </w:r>
    </w:p>
    <w:p>
      <w:r>
        <w:rPr>
          <w:b/>
        </w:rPr>
        <w:t>E. 3.2</w:t>
      </w:r>
    </w:p>
    <w:p>
      <w:r>
        <w:t>Procédure 1 Le demandeur dépose auprès de l’AEAI une demande accompagnée d’une attestation de conformité, d'un certificat d’un rapport d’essais ou d'expertise émanant d'un organisme reconnu. L’AEAI peut en plus demander une documentation technique ainsi que des indications sur l'entretien de l'objet en question. 2 Avant de délivrer une reconnaissance AEAI, l’AEAI mène une procédure de consultation auprès des autorités de protection incendie. Pour refuser d’entrer en matière sur l’homologation des portes coupes-feu installées par la recourante, l’ECA invoque des directives des corps de métier, notamment de l’Association suisse des maîtres menuisiers et fabricants de meubles (ci-après: VSSM) . Selon celles-ci, la demande d'homologation individuelle serait irrecevable lorsqu'il est possible de trouver sur le marché un produit ayant réussi le test. Or, au vu des dimensions mesurées, la recourante peut effectivement se procurer des portes coupe-feu homologuées (cf. liste des produits). L’architecture et la configuration du bâtiment ne l’ont pas contraint à faire poser des portes spécifiques en bois naturel, non homologuées; il s’agit là d’un choix de sa part. On retire cependant des explications de l’ECA qu’un autre menuisier aurait pu fabriquer les mêmes portes que celles posées par la recourante, en parvenant à les faire homologuer pour le motif qu'il disposait, quant à lui, de la licence requise; tel n’était en revanche pas le cas de la recourante. Dès lors, la recourante, ou plus exactement son fournisseur, aurait pu acquérir une licence contre paiement et fabriquer ainsi un nombre illimité de portes, dans le respect de cette licence, sans devoir se soumettre préalablement aux tests d’homologation. Ce ne sont par conséquent pas uniquement des motifs liés à la prévention des incendies qui s’opposent à l’ouverture d’une procédure d’homologation. Ces prescriptions tendent en réalité à instaurer un véritable monopole de fait de fabrication des éléments coupe-feu en faveur des membres de la VSSM. Elles pourraient à tout le moins empêcher les constructeurs de se fournir auprès de non-membres de cette association et par là même, instituer un monopole de droit au sens de l’art. 3 al. 1 de la loi fédérale du 6 octobre 1995 sur les cartels et autres restrictions à la concurrence (LCart; RS 251), en tant qu’il s’agit de prescriptions chargeant certaines entreprises de l'exécution de tâches publiques en leur accordant des droits spéciaux (let. b). Or, l’on ne se trouve pas ici dans un domaine où les règles de concurrence sont incompatibles avec les prescriptions techniques (v. Vincent Martenet/Benoît Carron, in : Droit de la concurrence, Martenet/Bovet/Tercier [ éds ] , 2 ème édition, Bâle 2013, ad art. 3 LCart, nos 12 et 43). Ni la LATC, ni la LPIEN n’excluent en effet la concurrence (v., par comparaison, Martenet/Carron, ibid., nos 45/46). Dès lors, se pose sérieusement la question de la compatibilité des prescriptions invoquées à l’appui du refus d’ouvrir en l’espèce une procédure d’homologation, au regard du principe constitutionnel de la liberté économique, laquelle est protégée par les art. 27 al. 1, 94 al. 1 Cst. et 26 al. 1 Cst./VD. On rappelle à cet égard que l es mesures restreignant l'activité économique peuvent notamment viser à protéger la santé ou la sécurité publiques (ATF 131 I 223 consid. 4.2 p. 231; 125 I 322 consid. 3a p. 326, 335 consid. 2a p. 337, et les arrêts cités). Sont en revanche prohibées les mesures de politique économique ou de protection d'une profession qui entravent la libre concurrence en vue de favoriser certaines branches professionnelles ou certaines formes d'exploitation (ATF 131 I 223 consid.</w:t>
      </w:r>
    </w:p>
    <w:p>
      <w:r>
        <w:rPr>
          <w:b/>
        </w:rPr>
        <w:t>E. 3.4</w:t>
      </w:r>
    </w:p>
    <w:p>
      <w:r>
        <w:t>Fermetures coupe-feu et étanches aux fumées 1 Les passages et autres ouvertures pratiqués dans des éléments de construction formant compartiment coupe-feu doivent être obturés par des fermetures résistant au feu. 2 Les fermetures coupe-feu doivent avoir une résistance au feu EI 30 au minimum. 3 Dans les zones présentant une charge thermique très faible (par exemple, portes entre les voies d'évacuation horizontales et verticales), les fermetures coupe-feu de résistance E 30 sont autorisées.</w:t>
      </w:r>
    </w:p>
    <w:p>
      <w:r>
        <w:rPr>
          <w:b/>
        </w:rPr>
        <w:t>E. 3.5</w:t>
      </w:r>
    </w:p>
    <w:p>
      <w:r>
        <w:t>Fermetures coupe-feu 1 Dans les parties de construction formant compartiment coupe-feu, les passages et autres ouvertures doivent être obturés par des fermetures résistantes au feu. 2 Les fermetures coupe-feu doivent avoir une résistance au feu EI 30 au minimum. Dans les murs coupe-feu, elles doivent fermer automatiquement. 3 Dans les zones présentant une charge thermique très faible (par exemple portes entre couloirs et cages d'escaliers), les fermetures coupe-feu de résistance E 30 sont autorisées. Il est à relever que cette directive a été abrogée et remplacée au 1 er janvier 2015 par une directive homonyme (n° 15-15f) à teneur de laquelle:</w:t>
      </w:r>
    </w:p>
    <w:p>
      <w:r>
        <w:rPr>
          <w:b/>
        </w:rPr>
        <w:t>E. 4</w:t>
      </w:r>
    </w:p>
    <w:p>
      <w:r>
        <w:t>Les fermetures étanches aux fumées de classe S sont autorisées dans les zones où seule la propagation de la fumée doit être empêchée (par exemple dans le cadre d'un concept de protection incendie reposant sur l'extraction de fumée et de chaleur ou pour le cloisonnement de voies d'évacuation verticales).</w:t>
      </w:r>
    </w:p>
    <w:p>
      <w:r>
        <w:rPr>
          <w:b/>
        </w:rPr>
        <w:t>E. 4.2</w:t>
      </w:r>
    </w:p>
    <w:p>
      <w:r>
        <w:t>p. 231 s.; 130 I 26 consid. 6.3.3.1 p. 53; 125 I 209 consid. 10a p. 221, 322 consid. 3a p. 326 et les arrêts cités; cf. au surplus, Andreas Auer/Giorgio Malinverni/Michel Hottelier, Droit constitutionnel suisse, 2 ème édition Berne 2006, p. 457 n° 976; Klaus A. Vallender/Peter Hettich/Jens Lehne, Wirtschaftsfreiheit und begrenzte Staatsverantwortung, 4 ème édition, Berne 2006, § 5 N. 103 et ss). A cela s’ajoute que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(ATF 137 I 167 consid. 3.6 p. 175/176; 136 I 87 consid. 3.2 p. 91/92, 197 consid. 4.4.4 p. 205, et les arrêts cités). En l’occurrence, l’on ne voit pas quelle raison de sécurité publique que l’autorité intimée puisse invoquer pour ne pas entrer en matière sur la demande d’homologation des portes coupe-feu posées par la recourante dans son immeuble. La circonstance selon laquelle des portes homologuées seraient disponibles sur le marché, qui a été opposée à la demande de la recourante, ne saurait entrer en considération. On ne retrouve du reste cette règle ni dans les anciennes directives AEAI, ni dans les nouvelles. Quant à l’acquisition préalable d’une licence, elle a surtout pour but de protéger les intérêts économiques de la filière professionnelle du bois. A tout le moins, il est excessif, sous l’angle de la proportionnalité, d’exiger de la recourante le remplacement des portes installées, sans lui avoir au préalable offert la faculté de soumettre celles-ci à des tests de reconnaissance, comme le prévoient les art. 14 al. 1 de la norme AEAI 1-03 et 14 al. 2 de la norme AEAI 1-15. En l’espèce, il est vrai que la recourante a requis l’octroi d’une dérogation. Or, quoi que celle-ci ait offert de démontrer la qualification des matériaux et des produits utilisés, ce qu’exige depuis lors l’art. 4 LPCo, l’autorité intimée n’est pas entrée en matière sur sa demande, pour des raisons purement formelles. Pourtant, les prescriptions applicables en matière de prévention contre l’incendie ménagent la liberté économique du constructeur puisqu’elles permettent l’emploi des mesures de substitution comme solution individuelle ou conceptuelle. Là est précisément le sens qu’il importe de donner aux art. 11 ch. 2 et 16 des normes AEAI 1-03 et 1-15, dont il n’y a pas lieu de s’écarter. La portée restrictive que semble vouloir conférer l’ECA à ces dispositions n’est guère compatible avec le principe de proportionnalité. Ces dispositions semblent du reste avoir été appliquées, à tout le moins dans un premier temps, par les autorités lausannoises dans le précédent évoqué par la recourante à titre de comparaison, dans ses écritures du 14 décembre 2014. Quoi qu’il en soit, l’autorisation accordée par celles-ci à la recourante est exorbitante du présent litige. On ne voit dès lors guère de motif que l’autorité intimée puisse valablement invoquer pour se soustraire à l’examen des 32 portes coupe-feu au regard des normes précitées. Certes, il est regrettable que la recourante n’ait pas entrepris de faire homologuer ces portes avant leur installation. L’ECA elle-même paraît en convenir, reprochant à la recourante d’être passée outre et d’avoir engagé des procédures de reconnaissance après avoir installé ses produits. Ce motif, d’ordre purement formel, est cependant insuffisant pour ne pas entrer en matière sur la demande et refuser d’ouvrir la procédure de reconnaissance. d) Il est du reste à relever que la nouvelle directive de protection incendie de l’AEAI, matériaux et éléments de construction, applicable depuis le 1 er janvier 2015, précise désormais ce qui suit:</w:t>
      </w:r>
    </w:p>
    <w:p>
      <w:r>
        <w:rPr>
          <w:b/>
        </w:rPr>
        <w:t>E. 4.3</w:t>
      </w:r>
    </w:p>
    <w:p>
      <w:r>
        <w:t>Utilisation de produits de construction généralement reconnus Les matériaux généralement reconnus (par exemple le bois naturel ou les constructions non résistantes au feu fabriquées selon des spécifications reconnues) et les éléments (par exemple les constructions résistantes au feu fabriquées selon des spécifications reconnues) qui peuvent être utilisés conformément aux prescriptions de protection incendie sont indiqués dans le répertoire des attestations d'utilisation AEAI.</w:t>
      </w:r>
    </w:p>
    <w:p>
      <w:r>
        <w:rPr>
          <w:b/>
        </w:rPr>
        <w:t>E. 4.4</w:t>
      </w:r>
    </w:p>
    <w:p>
      <w:r>
        <w:t>Utilisation sans rapport d'essai L'autorité de protection incendie décide de l'utilisation des produits de construction sans attestation d'essai ou attestation de reconnaissance AEAI tant que leur aptitude à l’emploi est démontrée par l'expérience, l'état de la technique, des résultats d'essais ou des calculs selon des procédures reconnues. Ces nouvelles prescriptions s’inscrivent en complément des art. 11 et 16 des normes AEAI 1-03 et 1-15. Elles constituent un compromis équilibré entre les exigences de la prévention contre les incendies et la liberté économique des constructeurs, en tant qu’elles sauvegardent la concurrence et visent à permettre à ceux-ci d’utiliser, sans qu’une procédure d’homologation soit ouverte, des éléments de construction susceptibles d’être reconnus par une autorité de protection incendie. Or, c’est bien sur ce terrain-ci que la recourante s’est placée dans le cas d’espèce. e) Ainsi, l’autorité intimée ne pouvait pas refuser le permis d’habiter au motif qu’il appartenait préalablement à la recourante de remplacer les 32 portes coupe-feu non homologuées et sa décision sera annulée pour ce premier motif. Il lui appartenait de vérifier préalablement s’il y avait lieu d’accueillir la dérogation requise par la recourante et si ces éléments de construction pouvaient être installés dans le cas d’espèce, compte tenu de l'expérience, de l'état de la technique, des résultats d'essais ou des calculs selon des procédures reconnues. Dans le cas contraire, il appartenait à l’autorité intimée, avant de refuser le permis d’habiter, d’ouvrir une procédure d’homologation de ces 32 portes, conformément à la directive AEAI, n° 28-15, ceci aux frais de la recourante. 5. D’autres constatations doivent être faites s’agissant du revêtement du plafond des voies d’évacuation, soit la cage d’escalier et le garde-corps; elles conduisent également à l’annulation de la décision attaquée. a) L’ECA oppose à la demande de la recourante les articles 49 de la norme de protection incendie 1-03 et 3.5.6 de la Directive AEAI Voies d’évacuation et de sauvetage (n° 16-03), dont le contenu est similaire: 1 Les revêtements des parois et plafonds de cages d'escaliers, de couloirs et de vestibules servant de voies d'évacuation doivent être exécutés en matériaux incombustibles. 2 Pour les revêtements de sol et de marches d'escaliers, des matériaux combustibles sont tolérés selon l'affectation des bâtiments, ouvrages et installations. La directive sur l’utilisation de matériaux de construction combustibles (n° 13-03f) ajoute à son art. 2.2 que les matériaux de construction sont classés sur la base d'essais normalisés ou d'autres procédures reconnues par l'AEAI, à savoir selon l’indice suivant (cf. annexe): Degrés de combustibilité 3 facilement combustible 4 moyennement combustible 5 difficilement combustible 5 (200°C) difficilement combustible à 200°C 6q quasi incombustible</w:t>
      </w:r>
    </w:p>
    <w:p>
      <w:r>
        <w:rPr>
          <w:b/>
        </w:rPr>
        <w:t>E. 5</w:t>
      </w:r>
    </w:p>
    <w:p>
      <w:r>
        <w:t>Les fermetures coupe-feu et étanches aux fumées qui doivent être maintenues ouvertes pour des impératifs d'exploitation doivent être équipées d'un dispositif de fermeture automatique en cas d'incendie.</w:t>
      </w:r>
    </w:p>
    <w:p>
      <w:r>
        <w:rPr>
          <w:b/>
        </w:rPr>
        <w:t>E. 6</w:t>
      </w:r>
    </w:p>
    <w:p>
      <w:r>
        <w:t>a) Les considérants qui précèdent conduisent par conséquent le Tribunal à admettre le recours et à annuler la décision attaquée. La cause est renvoyée à l’autorité intimée pour complément d’instruction et nouvelle décision, conformément aux considérants 4 et 5 du présent arrêt. b) Le présent arrêt sera rendu sans frais (art. 49 al. 1, 50, 52, 91 et 99 LPA-VD). Au surplus, il ne sera pas alloué de dépens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