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AC.2013.0280 vom 12. Mai 2014</w:t>
      </w:r>
    </w:p>
    <w:p>
      <w:r>
        <w:t>VD Tribunal cantonal, 2014-05-12, FR</w:t>
      </w:r>
    </w:p>
    <w:p>
      <w:r>
        <w:rPr>
          <w:b/>
        </w:rPr>
        <w:t xml:space="preserve">Quelle: </w:t>
      </w:r>
      <w:r>
        <w:t>https://mcp.opencaselaw.ch/entscheid/vd_omni_AC.2013.0280</w:t>
      </w:r>
    </w:p>
    <w:p>
      <w:r>
        <w:t>FR: VD_OMNI AC.2013.0280 du 12 mai 2014</w:t>
      </w:r>
    </w:p>
    <w:p>
      <w:r>
        <w:t>IT: VD_OMNI AC.2013.0280 del 12 maggio 2014</w:t>
      </w:r>
    </w:p>
    <w:p>
      <w:pPr>
        <w:pStyle w:val="Heading2"/>
      </w:pPr>
      <w:r>
        <w:t>Regeste</w:t>
      </w:r>
    </w:p>
    <w:p>
      <w:r>
        <w:t>PFAEFFLI/Municipalité de Lutry, BANDACK | Permis de construire délivré à l'issue d'une troisième enquête publique complémentaire, autorisant la fermeture partielle d'un balcon. La pratique de la Municipalité, en relation avec le calcul de la hauteur des bâtiments, ne respecte pas la réglementation communale. Celle-ci ne se réfère pas à la notion de "hauteur au faîte"; la marge de un mètre octroyée au niveau du faîte ne peut se comprendre que dans le sens que le faîte du bâtiment doit nécessairement s'inscrire dans un volume supplémentaire de un mètre par rapport à celui défini par référence à la hauteur (H), qui correspond à la hauteur des façades. Le permis de construire doit ainsi être annulé; il y a lieu de conditionner les travaux d'extension du bâtiment à la réalisation des aménagements (sauts-de-loup) tels qu'autorisés à l'issue de la deuxième enquête complémentaire, le permis étant entré en force. La suppression des sauts-de-loup aggrave en effet l'atteinte à la réglementation communale (consid. 5). L'extension réalisée, qui se présente comme un corps de bâtiment secondaire accolé au corps du bâtiment principal n'apparaît pas inesthétique (consid. 8). Recours admis. Recours au Tribunal fédéral rejeté (ATF 1C_302/2014 et 1C_304/2014 du 5 janvier 2015).</w:t>
      </w:r>
    </w:p>
    <w:p>
      <w:pPr>
        <w:pStyle w:val="Heading2"/>
      </w:pPr>
      <w:r>
        <w:t>Erwägungen</w:t>
      </w:r>
    </w:p>
    <w:p>
      <w:r>
        <w:rPr>
          <w:b/>
        </w:rPr>
        <w:t>E. 1</w:t>
      </w:r>
    </w:p>
    <w:p>
      <w:r>
        <w:t>La constructrice met en doute la qualité pour recourir de Gilbert Pfaeffli. a)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Les principes développés au regard des art. 37 de l'ancienne loi du 18 décembre 1989 sur la juridiction et la procédure administrative (aLJPA), 103 let. a de l'ancienne loi fédérale du 16 décembre 1943 d'organisation judiciaire (aOJ) et 89 LTF s’appliquent donc toujours à l’art. 75 let. a LPA-VD (arrêts AC.2011.0310 du 5 octobre 2012 consid. 1a; AC.2012.0113 du 13 juillet 2012 consid. 1a; AC.2009.0029 du 28 janvier 2010 consid. 1, et les références citées). Constitue un intérêt digne de protection, tout intérêt pratique ou juridique à demander la modification ou l'annulation de la décision attaquée que peut faire valoir une personne atteinte par cette dernière. A cet égard,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(ATF 135 II 145 consid. 6.1 p. 150; 133 II 468 consid. 1 p. 469; 133 V 239 consid.</w:t>
      </w:r>
    </w:p>
    <w:p>
      <w:r>
        <w:rPr>
          <w:b/>
        </w:rPr>
        <w:t>E. 6</w:t>
      </w:r>
    </w:p>
    <w:p>
      <w:r>
        <w:t>L'argument du recourant, en relation avec un velux créé en toiture, est sans objet. Les plans d'enquête contiennent expressément la modification (en rouge) apportée au projet. Le recourant ne prétend en outre pas que cette ouverture serait contraire à la réglementation communale. Le recourant n'a en outre pas démontré que les modifications apportées au projet initial impliquaient des remblais d'une hauteur supérieure à 2,5m au sens de l'art. 35 RCAT. La Municipalité a de toute façon indiqué qu'elle vérifierait le respect de cette disposition à l'issue des travaux.</w:t>
      </w:r>
    </w:p>
    <w:p>
      <w:r>
        <w:rPr>
          <w:b/>
        </w:rPr>
        <w:t>E. 7</w:t>
      </w:r>
    </w:p>
    <w:p>
      <w:r>
        <w:t>Pour le recourant, la construction projetée ne s’intégrerait pas au site.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132 II 408 consid. 4.3 p. 416; 115 Ia 114 consid. 3d p. 118-119, 363 consid. 3b p. 367).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arrêt AC.2011.0093 du 1 er mars 2012, consid. 2, et les arrêts cités) .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arrêts AC.2012.0046 du 29 août 2012, consid. 7; AC.2011.0143 du 23 décembre 2011, consid.5, et les arrêts cités). b) Selon l'art. 24 RCAT sont interdites toutes constructions de nature à compromettre l'aspect ou le caractère d'un site, d'une localité, d'un quartier ou d'une rue, ou à nuire à l'aspect d'un édifice de valeur historique, artistique ou pittoresque. En vertu de l'art. 166 RCAT, la zone d'habitation III est soumise à des mesures spéciales d'intégration au site et de protection des vues depuis la route des Monts-de-Lavaux (RC 773). c) L'environnement bâti se caractérise en l'occurrence par des villas d'une typologie et d'une architecture variée. La parcelle en cause est en outre située à proximité de l'autoroute et l'environnement construit ne présente aucune qualité architecturale digne de protection. L'agrandissement litigieux, qui se présente comme un corps de bâtiment secondaire accolé au corps du bâtiment principal, n'apparaît pas inesthétique. On retrouve cette configuration dans plusieurs constructions voisines. De plus, le règlement communal ne pose aucune exigence en relation avec la forme des toitures, l'art. 139 PGA, auquel renvoie l'art. 169 RPGA, se limitant à interdire les toits plats. L'emprise de cet agrandissement est minime, par rapport à l'ensemble de la construction autorisée. Sous réserve du respect des exigences du CUS et des dispositions relatives à la hauteur des constructions, on ne discerne en outre pas une volonté de la constructrice de faire une utilisation déraisonnable et irrationnelle des possibilités de construire, compte tenu de la volumétrie des constructions d'ores et déjà érigées sur les parcelles voisines.</w:t>
      </w:r>
    </w:p>
    <w:p>
      <w:r>
        <w:rPr>
          <w:b/>
        </w:rPr>
        <w:t>E. 8</w:t>
      </w:r>
    </w:p>
    <w:p>
      <w:r>
        <w:t>Le recours doit ainsi être admis et le dossier renvoyé à la Municipalité pour nouvelle décision, dans le sens que les travaux de fermeture du balcon Ouest sont autorisés, à la condition que les sauts-de-loup, tels qu'autorisés dans le cadre de la deuxième enquête complémentaire, soient réalisés. Les frais sont mis à la charge de la constructrice, qui a conclu au rejet du recours. Le recourant a droit à des dépens, à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