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AC.2013.0214 vom 29. Juli 2014</w:t>
      </w:r>
    </w:p>
    <w:p>
      <w:r>
        <w:t>VD Tribunal cantonal, 2014-07-29, FR</w:t>
      </w:r>
    </w:p>
    <w:p>
      <w:r>
        <w:rPr>
          <w:b/>
        </w:rPr>
        <w:t xml:space="preserve">Quelle: </w:t>
      </w:r>
      <w:r>
        <w:t>https://mcp.opencaselaw.ch/entscheid/vd_omni_AC.2013.0214</w:t>
      </w:r>
    </w:p>
    <w:p>
      <w:r>
        <w:t>FR: VD_OMNI AC.2013.0214 du 29 juillet 2014</w:t>
      </w:r>
    </w:p>
    <w:p>
      <w:r>
        <w:t>IT: VD_OMNI AC.2013.0214 del 29 luglio 2014</w:t>
      </w:r>
    </w:p>
    <w:p>
      <w:pPr>
        <w:pStyle w:val="Heading2"/>
      </w:pPr>
      <w:r>
        <w:t>Regeste</w:t>
      </w:r>
    </w:p>
    <w:p>
      <w:r>
        <w:t>ALENAS INVESTMENTS SA/Municipalité de Montreux, Service Immeubles, Patrimoine et Logistique, GOETSCHMANN, ALMDAL, BERGER, DIBROV, FREIRE, FURTWANGLER, GROSSENBACHER, MATEEV, MEBES, SAUVAGEOT, SKORIK, St Georges' School, TARDIVEAU ALMDAL | Portée de la protection dont bénéficie un bâtiment ayant reçu la note 3 dans le cadre du recensement architectural (rappel). La municipalité n'abuse pas de son pouvoir d'appréciation si elle refuse d'autoriser la démolition qui a pour seul but de libérer le potentiel constructible de la parcelle alors que ce dernier, dans le nouveau règlement en cours d'élaboration, augmentera dans une mesure importante permettant le maintien du bâtiment.</w:t>
      </w:r>
    </w:p>
    <w:p>
      <w:pPr>
        <w:pStyle w:val="Heading2"/>
      </w:pPr>
      <w:r>
        <w:t>Erwägungen</w:t>
      </w:r>
    </w:p>
    <w:p>
      <w:r>
        <w:rPr>
          <w:b/>
        </w:rPr>
        <w:t>E. 1</w:t>
      </w:r>
    </w:p>
    <w:p>
      <w:r>
        <w:t>Est principalement contestée la décision municipale qui refuse l'autorisation de démolir la villa existante pour le motif que celle-ci a reçu la note 3 au recensement architectural. Pour la municipalité, la réglementation soumise à l'enquête publique en 2007 a pour but de préserver le caractère particulier de la zone de Beauregard - Mont Gibert - Les Crètes. La seule justification de la démolition de cette villa de 1926 faisant partie du patrimoine historique communal serait, en substance, d'échapper dans l'immédiat au coefficient d'utilisation du sol de 10 % actuellement en vigueur alors que la nouvelle réglementation permettrait quant au principe de conserver cette maison de maître tout en bâtissant deux nouveaux bâtiments. En conséquence, l'autorité municipale refuse le permis de construire les deux bâtiments projetés pour le motif, en substance, que le maintien de la villa de maître rend non réglementaire les bâtiments projetés comportant une surface brute de plancher de quelque 740 m² alors que le coefficient d'utilisation du sol impose une limite de 745 m² selon les dispositions en vigueur. La recourante ne conteste pas que les immeubles projetés au sud de la parcelle n'affectent pas les constructions existantes au nord mais elle expose que la démolition de ces dernières est nécessaire parce que les nouveaux immeubles épuiseraient pratiquement l'entier des droits à bâtir de la parcelle. Elle fait valoir que la note 3 au recensement architectural n'implique pas de protection particulière; elle relève que l'immeuble existant présente peu d'intérêt, les extensions ayant dénaturé l'image originelle de la villa, et que les quelques éléments de boiseries présents dans quelques pièces du rez-de-chaussée ne justifient pas le refus d'autoriser la démolition.</w:t>
      </w:r>
    </w:p>
    <w:p>
      <w:r>
        <w:rPr>
          <w:b/>
        </w:rPr>
        <w:t>E. 2</w:t>
      </w:r>
    </w:p>
    <w:p>
      <w:r>
        <w:t>Dans un arrêt AC.2010.0241 du 16 novembre 2011, la Cour de droit administratif et public a déterminé la place du recensement architectural dans le système fédéral et cantonal d'aménagement du territoire en ce qui concerne la protection des monuments et sites construits d'importance locale, régional ou national. Outre l'instauration d'une zone à protéger préservant notamment les localités typiques, les lieux historiques et les monuments naturels ou culturels (art. 17 al. 1 let. c de la loi fédérale sur l'aménagement du territoire, LAT; RS 700), les cantons peuvent prescrire d'autres mesures (art. 17 al. 2 LAT) parmi lesquelles figurent les inventaires et classement prévus par le droit cantonal, les clauses de protection, ainsi que la clause générale d'esthétique ( AC.2010.0241, consid. 2) .</w:t>
      </w:r>
    </w:p>
    <w:p>
      <w:r>
        <w:rPr>
          <w:b/>
        </w:rPr>
        <w:t>E. 3</w:t>
      </w:r>
    </w:p>
    <w:p>
      <w:r>
        <w:t>Cet ar r êt rappelle ce qui suit (consid. 3): a) En droit vaudois, la loi sur l'aménagement du territoire et les constructions du 4 décembre 1985 (LATC; RSV 700.11)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loi vaudoise sur la protection de la nature et des monuments et des sites du 10 décembre 1969 (LPNMS; RSV 450.11)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c) Enfin, la clause générale d'esthétique de l'art. 86 LATC fait également partie des autres mesures prévues par le droit cantonal au sens de l'art. 17 al.2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d)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arrêt TA AC 2001/0220 du 17 juin 2004 consid. 3c/dd/ccc p. 13-14).</w:t>
      </w:r>
    </w:p>
    <w:p>
      <w:r>
        <w:rPr>
          <w:b/>
        </w:rPr>
        <w:t>E. 4</w:t>
      </w:r>
    </w:p>
    <w:p>
      <w:r>
        <w:t>Quant au recensement architectural, l'arrêt AC.2010.0241 expose ce qui suit (consid. 4): a) Selon l’art. 30 RPNMS,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1 recense les monuments d’importance nationale. Le monument est à conserver dans sa substance. Le monument a une valeur justifiant un classement comme monument historique et il est en tous les cas inscrit à l’inventaire. La note 2 recense les monuments d’importance régionale qui ont en principe une valeur justifiant un classement comme monument historique ; ils sont aussi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Les objets auxquels la note 4 est attribuée sont qualifiés de bien intégrés. Selon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Ils ne sont en principe pas soumis à la protection générale de l'art. 46 LPNMS. La note 5 est attribuée à des bâtiments qui présentent à la fois des qualités et des défauts. Le bâtiment se caractérise par des défauts d’intégration. Son architecture est souvent soignée et intéressante. Il comporte des qualités et des défauts qui s’équivalent. Il est typique d’une architecture importée ou encore d’une intervention relativement récente, sur laquelle, par manque de recul, il est difficile de se prononcer. A ce titre, la note 5 est utilisée comme note d’attente. b) Le propriétaire qui envisage des travaux affectant un objet à l’inventaire au sens de l’art. 49 LPNMS doit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 108 et 114 LATC (art. 32 RPNMS). Pour les objets soumis à la protection générale de l'art. 46 LPNMS, notamment les bâtiments recensés en note 3, le département compétent peut ordonner des mesures conservatoires nécessaires à sa sauvegarde lorsqu'un danger imminent le menace (art. 47 LPNMS); mais ces mesures deviennent caduques si aucune enquête publique en vue du classement n'a été ouverte dans les trois mois dès la date des mesures conservatoires, délai qui peut être prolongé de 6 mois par le Conseil d'Etat (art. 48 LPNMS). Ainsi, l'intervention de la Section Monuments et Sites doit se différencier pour les bâtiments qui sont mis à l’inventaire au sens des art. 49 ss LPNMS et 31 RPNMS, et pour ceux soumis à la protection générale de l'art. 46 LPNMS (arrêt AC.2006.0113 du 12 mars 2007). La jurisprudence a encore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de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(Moor, Commentaire LAT, art. 17 nos 87 et 88).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(arrêts AC.2008.0328 du 27 novembre 2009 consid. 4, AC.2007.0147 du 31 juillet 2008, consid. 3c, AC.2006.0113 du 12 mars 2007, AC.2004.0031 du 21 février 2006, AC.2004.0003 du 29 décembre 2005, AC.2003.0204 du 21 décembre 2004, AC.2002.0128 du 12 mars 2004 et AC.2000.0122 du 9 septembre 2004). c) Le tribunal a eu l’occasion de se pencher encore sur la portée de la directive cantonale du recensement architectural précisant que « Les objets recensés en note 3 sont placés sous la protection générale ». La jurisprudence a précisé qu’un objet qui n'est ni classé ni porté à l'inventaire et pour lequel le département compétent a renoncé à prendre des mesures conservatoires, n'est pas protégé par la LPNMS. " Les objets placés sous la protection générale demeurent sous la surveillance du département sans aucune contrainte juridique pour le propriétaire " (Recensement architectural du canton de Vaud, p. 22). En indiquant que " les bâtiments recensés en note "3" (…) méritent d'être sauvegardés sans toutefois pouvoir, en principe, être classés comme monuments historiques " (ibid.) et en renonçant systématiquement, après 1987, à porter ces objets à l'inventaire, le département a introduit une contradiction irréductible dans l'application de la LPNMS: si l'objet mérite d'être sauvegardé, il doit être porté à l'inventaire, et la seule manière d'imposer sa sauvegarde contre la volonté du propriétaire dans le cadre restreint de la LPNMS, est en définitive de le classer. Si un projet de transformation ou de démolition va à l’encontre des objectifs de sauvegarde mentionnés dans la directive concernant le recensement, et si la Section Monument et Site ne prend pas les mesures conservatoires de l’art. 47 LPNMS en vue du classement, elle doit alors formuler des observations ou une opposition durant l'enquête publique, opposition sur laquelle la municipalité statuera (AC 2009.0209 du 26 mai 2010 consid. 2c).</w:t>
      </w:r>
    </w:p>
    <w:p>
      <w:r>
        <w:rPr>
          <w:b/>
        </w:rPr>
        <w:t>E. 5</w:t>
      </w:r>
    </w:p>
    <w:p>
      <w:r>
        <w:t>De manière plus générale, la jurisprudence rappelle régulièrement qu'à l’exception des notes *1* et *2* (qui impliquent une mise à l’inventaire), les notes attribuées par le recensement architectural ont un caractère purement indicatif et informatif et qu'elles ne constituent pas une mesure de protection mais qu'elles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(v. p. ex récemment AC.2011.0068 du 27 décembre 2011, consid. 1b; AC.2011.0271 du 12 septembre 2012, consid. 2b). C’est la municipalité qui est compétente en première ligne pour l’application des règles communales visant des buts comparables à la LPNMS pour la protection des bâtiments dignes d’intérêt (AC.2012.0176 du 28 novembre 2012, consid. 2cc). Ces règles communales ne sont pas subordonnées à l’inscription d’un objet à l’inventaire ou à l’adoption d’un arrêté de classement, mais résultent des objectifs de protection propres arrêtés par la planification communale sur son territoire (AC.2013.0175 du 10 décembre 2013, consid. 2b).</w:t>
      </w:r>
    </w:p>
    <w:p>
      <w:r>
        <w:rPr>
          <w:b/>
        </w:rPr>
        <w:t>E. 6</w:t>
      </w:r>
    </w:p>
    <w:p>
      <w:r>
        <w:t>En l'espèce, le recensement effectué en 2013 à la demande de la Commune de Montreux a conduit à attribuer la note 3 à la villa ECA 116. Les objections de la recourante (les éléments intéressants seraient déjà altérés ou peu présents) ne permettent pas de remettre en cause la note 3 déterminée par la Division Patrimoine, qui s'est fondée sur une visite sur place et un relevé photographique. Quant à la portée de ce recensement, elle impliquait que la municipalité le prenne en considération dans la pesée des intérêts auxquels elle devait procéder. Le renvoi du règlement du PEP à l'art. 40 RPE, même s'il vise principalement les constructions nouvelles, montre que la planification communale considère le secteur comme délicat. Dans ce cadre, la municipalité a accordé plus d'importance à la préservation de la villa de 1926, qu'elle considère comme faisant partie du patrimoine historique de la commune, qu'à la réalisation du projet de la recourante. Dans sa jurisprudence, le tribunal a déjà admis que le refus d’un permis de démolir un bâtiment recensé en note 3 sur la base de l’art. 86 LATC en raison de ses qualités architecturales et de l’intérêt que présente le bâtiment dans le site était compatible avec la garantie de la propriété (voir arrêt AC.2000.0122 du 9 septembre 2004, consid. 6 ; voir aussi l’arrêt AC.2004.0031 du 21 février 2006 consid. 4). La municipalité pouvait surtout se fonder sur les circonstances particulières du cas d'espèce, car ce n'est pas la villa elle-même qui empêche la réalisation du projet litigieux, qui serait situé à l'autre extrémité de la parcelle, mais simplement l'application du coefficient d'utilisation du sol actuellement en vigueur. Il n'est d'ailleurs pas contesté que la démolition de la villa n'a pas d'autre but que de libérer le potentiel constructible de la parcelle, ce potentiel devant être, selon le projet litigieux, presque entièrement dévolu aux deux nouvelles constructions. Or la municipalité a tenu compte du fait que les restrictions résultant du règlement en vigueur étaient destinées à disparaître dans le nouveau plan général d'affectation de Montreux. De fait, pour autant que la dernière teneur mise à l'enquête du futur règlement entre en vigueur, l'indice d'utilisation du sol devrait tripler (de 0,1 à 0,3) dans la nouvelle planification communale. C'est dire que de nouvelles constructions pourraient être érigées sur la parcelle sans qu'il soit nécessaire de détruire la villa recensée en note 3. Dans ces conditions, la municipalité n'a pas abusé de son pouvoir d'appréciation en considérant dans la décision attaquée que la destruction de la villa ECA 116 constituait une mesure disproportionnée dans le seul objectif de réaliser immédiatement de nouvelles constructions. Le refus de l'autorisation de démolir la villa devant être confirmé, le refus du permis de construire les nouvelles constructions, qui en est le corollaire, ne peut être que confirmé. Il n'est pas possible de faire bénéficier le projet litigieux de la future planification communale car si la loi confère aux plans et aux règlements en voie d'élaboration un effet anticipé négatif conduisant au refus des projets qui leur sont contraires (art. 77 et 79 LATC), elle ne prévoit pas d’effet anticipé positif (pour un exemple récent AC.2013.0218 du 26 novembre 2013, et les réf. citées: AC.2008.0251 du 28 mai 2009 consid. 5; cf. également l'arrêt AC.2010.0166 du 26 janvier 2012 consid. 3b). Vu ce qui précède, il n'est pas nécessaire d'examiner la question de la validité actuelle de la planification en vigueur dans le secteur, dont l'élaboration avait commencé avant l'entrée en vigueur de la loi fédérale sur l'aménagement du territoire, ni d'examiner l'application des règles désormais en vigueur en matière de résidence secondaires.</w:t>
      </w:r>
    </w:p>
    <w:p>
      <w:r>
        <w:rPr>
          <w:b/>
        </w:rPr>
        <w:t>E. 7</w:t>
      </w:r>
    </w:p>
    <w:p>
      <w:r>
        <w:t>Le recours étant rejeté, la recourante supportera un émolument, réduit pour tenir compte du fait que la cause a pu être jugée sans audience.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