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AC.2013.0155 vom 16. April 2013</w:t>
      </w:r>
    </w:p>
    <w:p>
      <w:r>
        <w:t>VD Tribunal cantonal, 2013-04-16, FR</w:t>
      </w:r>
    </w:p>
    <w:p>
      <w:r>
        <w:rPr>
          <w:b/>
        </w:rPr>
        <w:t xml:space="preserve">Quelle: </w:t>
      </w:r>
      <w:r>
        <w:t>https://mcp.opencaselaw.ch/entscheid/vd_omni_AC.2013.0155</w:t>
      </w:r>
    </w:p>
    <w:p>
      <w:r>
        <w:t>FR: VD_OMNI AC.2013.0155 du 16 avril 2013</w:t>
      </w:r>
    </w:p>
    <w:p>
      <w:r>
        <w:t>IT: VD_OMNI AC.2013.0155 del 16 aprile 2013</w:t>
      </w:r>
    </w:p>
    <w:p>
      <w:pPr>
        <w:pStyle w:val="Heading2"/>
      </w:pPr>
      <w:r>
        <w:t>Regeste</w:t>
      </w:r>
    </w:p>
    <w:p>
      <w:r>
        <w:t>HELVETIA NOSTRA/Municipalité de Gryon, RYTER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Annulé par arrêt TF du 28 octobre 2013 (1C_510/2013).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de résidences secondaires (cf. annexe de l'ordonnance sur les résidences secondaires). Il n'y a cependant pas lieu d'examiner si le chalet projeté est une résidence secondaire (ce que la recourante qualifie de très vraisemblable, mais le constructeur n'a pas eu l'occasion de répondre au recours). En effet, dans un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Puis, dans un deuxième arrêt de principe AC.2012.0234 du 28 février 2013, la Cour de droit administratif et public du Tribunal cantonal a considéré qu'il résultait clairement de la disposition transitoire de l'art. 197 ch. 9 ch.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(AC.2012.0234, consid. 2c). En l'occurrence, la municipalité a décidé d'octroyer le permis de construire le 1 er octobre 2012, soit avant la date limite fixée par la disposition transitoire. La Cour de céans, quand bien même elle statue après le 1 er janvier 2013, doit donc considérer que l'art. 75b Cst., appliqué avec la disposition transitoire de l'art. 197 ch. 9 ch.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s'ensuite que les griefs de la recourante, mal fondés, doivent être rejetés.</w:t>
      </w:r>
    </w:p>
    <w:p>
      <w:r>
        <w:rPr>
          <w:b/>
        </w:rPr>
        <w:t>E. 3</w:t>
      </w:r>
    </w:p>
    <w:p>
      <w:r>
        <w:t>Le rejet du recours, dans la mesure où il est recevable, entraîne la confirmation de la décision attaquée dans la mesure où elle lève l’opposition d’Helvetia Nostra. Demeure réservé l’effet suspensif légal en vertu d’autres éventuels recours pendants à l’encontre de la même décision (art. 80 al. 1 LPA-VD). La recourante, qui succombe, supporte les frais de justice (art. 49 LPA-VD). La municipalité et le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