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AC.2013.0143 vom 9. April 2013</w:t>
      </w:r>
    </w:p>
    <w:p>
      <w:r>
        <w:t>VD Tribunal cantonal, 2013-04-09, FR</w:t>
      </w:r>
    </w:p>
    <w:p>
      <w:r>
        <w:rPr>
          <w:b/>
        </w:rPr>
        <w:t xml:space="preserve">Quelle: </w:t>
      </w:r>
      <w:r>
        <w:t>https://mcp.opencaselaw.ch/entscheid/vd_omni_AC.2013.0143</w:t>
      </w:r>
    </w:p>
    <w:p>
      <w:r>
        <w:t>FR: VD_OMNI AC.2013.0143 du 9 avril 2013</w:t>
      </w:r>
    </w:p>
    <w:p>
      <w:r>
        <w:t>IT: VD_OMNI AC.2013.0143 del 9 aprile 2013</w:t>
      </w:r>
    </w:p>
    <w:p>
      <w:pPr>
        <w:pStyle w:val="Heading2"/>
      </w:pPr>
      <w:r>
        <w:t>Regeste</w:t>
      </w:r>
    </w:p>
    <w:p>
      <w:r>
        <w:t>HELVETIA NOSTRA/Municipalité de Gryon, Pannatier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(1C_428/2013 du 15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avec garage double et deux places de parc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Gryon est une commune dans laquelle le parc des logements comporte plus de 20% de résidences secondaires, ni si le chalet avec garage double et deux places de parc projeté par le constructeur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ATF 125 II 591, consid. 5e/aa; ATF 123 II 359, consid. 3; 1C_215/2012 du 14 décembre 2012, consid. 2.4; 1C_159/2012 du 14 décembre 2012, consid. 6.2; 1C_36/2011 du 8 février 2012, consid. 5.2; 1C_505/2011 du 1 er février 2012, consid. 3.1) Cette règle n’est toutefois applicable qu’en l’absence de norme transitoire spécifique (cf. notamment 1C_215/2012 du 14 décembre 2012, consid. 2.4;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 constructeur,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