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AC.2013.0141 vom 4. April 2013</w:t>
      </w:r>
    </w:p>
    <w:p>
      <w:r>
        <w:t>VD Tribunal cantonal, 2013-04-04, FR</w:t>
      </w:r>
    </w:p>
    <w:p>
      <w:r>
        <w:rPr>
          <w:b/>
        </w:rPr>
        <w:t xml:space="preserve">Quelle: </w:t>
      </w:r>
      <w:r>
        <w:t>https://mcp.opencaselaw.ch/entscheid/vd_omni_AC.2013.0141</w:t>
      </w:r>
    </w:p>
    <w:p>
      <w:r>
        <w:t>FR: VD_OMNI AC.2013.0141 du 4 avril 2013</w:t>
      </w:r>
    </w:p>
    <w:p>
      <w:r>
        <w:t>IT: VD_OMNI AC.2013.0141 del 4 aprile 2013</w:t>
      </w:r>
    </w:p>
    <w:p>
      <w:pPr>
        <w:pStyle w:val="Heading2"/>
      </w:pPr>
      <w:r>
        <w:t>Regeste</w:t>
      </w:r>
    </w:p>
    <w:p>
      <w:r>
        <w:t>HELVETIA NOSTRA/Municipalité de Gryon, WICKI | L'art. 75b Cst., interprété en relation avec l'art. 197 ch. 9 Cst., ne peut faire obstacle à un permis de construire délivré en 2012. Recours au TF d'Helvetia Nostra admis (arrêt +C_426/2013 du 28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des bâtiments d'habitation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La commune de Gryon fait partie, d'après le Conseil fédéral, des communes dans lesquelles le parc des logements comporte plus de 20 % de résidences secondaires (cf. annexe de l'ordonnance sur les résidences secondaires). Il n'y a cependant pas lieu d'examiner si le chalet projeté est une résidence secondaire (ce que la recourante qualifie d'indéniable, mais le constructeur n'a pas eu l'occasion de répondre au recours). En effet, dans son arrêt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Puis, dans un arrêt AC.2012.0234 du 28 février 2013, la Cour de droit administratif et public du Tribunal cantonal a considéré qu'il résultait clairement de la disposition transitoire de l'art. 197 ch. 9 al.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(consid. 2c de l'arrêt de principe AC.2012.0234). En l'occurrence, la municipalité a décidé d'octroyer le permis de construire le 28 décembre 2012, soit avant la date limite fixée par la disposition transitoire. La Cour de céans, quand bien même elle statue après le 1 er janvier 2013, doit donc considérer que l'art. 75b Cst., appliqué avec la disposition transitoire de l'art. 197 ch. 9 al.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de la loi vaudoise du 28 octobre 2008 sur la procédure administrative [LPA-VD ; RSV 173.36]). La municipalité ainsi que le propriétaire et constructeur,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