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AC.2013.0136 vom 4. April 2013</w:t>
      </w:r>
    </w:p>
    <w:p>
      <w:r>
        <w:t>VD Tribunal cantonal, 2013-04-04, FR</w:t>
      </w:r>
    </w:p>
    <w:p>
      <w:r>
        <w:rPr>
          <w:b/>
        </w:rPr>
        <w:t xml:space="preserve">Quelle: </w:t>
      </w:r>
      <w:r>
        <w:t>https://mcp.opencaselaw.ch/entscheid/vd_omni_AC.2013.0136</w:t>
      </w:r>
    </w:p>
    <w:p>
      <w:r>
        <w:t>FR: VD_OMNI AC.2013.0136 du 4 avril 2013</w:t>
      </w:r>
    </w:p>
    <w:p>
      <w:r>
        <w:t>IT: VD_OMNI AC.2013.0136 del 4 aprile 2013</w:t>
      </w:r>
    </w:p>
    <w:p>
      <w:pPr>
        <w:pStyle w:val="Heading2"/>
      </w:pPr>
      <w:r>
        <w:t>Regeste</w:t>
      </w:r>
    </w:p>
    <w:p>
      <w:r>
        <w:t>HELVETIA NOSTRA/Municipalité de Gryon, DENZLER | L'art. 75b Cst. interprété en relation avec l'art. 197 ch. 9 Cst. ne peut pas faire obstacle à un permis de construire une résidence secondaire délivré en 2012. Le fait que le Tribunal cantonal statue en instance de recours après le 1er janvier 2013 ne change rien à la situation juridique. Le texte de la disposition transitoire (art. 197 ch. 9 Cst.) est clair et indique comme point déterminant pour juger de la validité des permis de construire la date de leur délivrance. Recours rejeté dans la mesure où il est recevable. Recours au TF admis (ATF du 29.11.2013; 1C_425/2013).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deux chalets jumelés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est une commune dans laquelle le parc des logements comporte plus de 20% de résidences secondaires, ni si les chalets projetés par les constructeurs sont des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Dans le cas présent,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seront mis à la charge de la recourante, qui succombe (art. 49, 91 et 99 LPA-VD). La municipalité et les constructeurs, qui n'ont pas été invités à procéder, n'ont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