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AC.2013.0135 vom 16. April 2013</w:t>
      </w:r>
    </w:p>
    <w:p>
      <w:r>
        <w:t>VD Tribunal cantonal, 2013-04-16, FR</w:t>
      </w:r>
    </w:p>
    <w:p>
      <w:r>
        <w:rPr>
          <w:b/>
        </w:rPr>
        <w:t xml:space="preserve">Quelle: </w:t>
      </w:r>
      <w:r>
        <w:t>https://mcp.opencaselaw.ch/entscheid/vd_omni_AC.2013.0135</w:t>
      </w:r>
    </w:p>
    <w:p>
      <w:r>
        <w:t>FR: VD_OMNI AC.2013.0135 du 16 avril 2013</w:t>
      </w:r>
    </w:p>
    <w:p>
      <w:r>
        <w:t>IT: VD_OMNI AC.2013.0135 del 16 aprile 2013</w:t>
      </w:r>
    </w:p>
    <w:p>
      <w:pPr>
        <w:pStyle w:val="Heading2"/>
      </w:pPr>
      <w:r>
        <w:t>Regeste</w:t>
      </w:r>
    </w:p>
    <w:p>
      <w:r>
        <w:t>HELVETIA NOSTRA, BASHORUN, GANTY-DESAULLES/GHL IMMOBILIERE ET FINANCIERE SA, Municipalité de Leysin | Rejet, après le 1er janvier 2013, du recours déposé par Helvetia Nostra contre un permis de construire une résidence secondaire: le tribunal a déjà jugé que les art. 75b et 197 ch. 9 Cst. ne font pas obstacle à l'octroi d'un permis de construire celui-ci est délivré en 2012, peu important à cet égard qu'il statue en instance de recours après le 1er janvier 2013. Recours au Tribunal fédéral admis (1C-478/2013 du 22 octobre 2013).</w:t>
      </w:r>
    </w:p>
    <w:p>
      <w:pPr>
        <w:pStyle w:val="Heading2"/>
      </w:pPr>
      <w:r>
        <w:t>Erwägungen</w:t>
      </w:r>
    </w:p>
    <w:p>
      <w:r>
        <w:rPr>
          <w:b/>
        </w:rPr>
        <w:t>E. 1</w:t>
      </w:r>
    </w:p>
    <w:p>
      <w:r>
        <w:t>Le recours est formé notamment par Helvetia Nostra, soit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(cf. arrêt précité AC.2013.0109), comme cela sera exposé au considérant suivant, il n'est pas nécessaire d'examiner si, en accordant une autorisation de construire pour huit chalets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 d'autant plus que le recours est également interjeté par divers propriétaires voisins qui ont très vraisemblablement qualité pour agir au sens de l'art. 75 al. 1 let. a LPA-VD.</w:t>
      </w:r>
    </w:p>
    <w:p>
      <w:r>
        <w:rPr>
          <w:b/>
        </w:rPr>
        <w:t>E. 2</w:t>
      </w:r>
    </w:p>
    <w:p>
      <w:r>
        <w:t>Les recourants se plaignent essentiellement d'une violation de l'art. 75b Cst., qui interdirait la construction de résidences secondaires dès son entrée en vigueur. Ils font par ailleurs valoir qu'aucune des exceptions prévues dans l'ordonnance du 22 août 2012 sur les résidences secondaires (RS 702) n'est réalisée dans le cas particulier. Les recourants invoquent également l’art. 77 de la loi du 5 décembre 1985 sur l’aménagement du territoire et les constructions (LATC, RSV 700.11); ce dernier grief a été écarté dans l’arrêt du 22 novembre 2012, auquel les parties sont renvoyées, en tant que de besoin (arrêt AC.2012.0127, précité, consid. 3). Pour le surplus, ils ne soulèvent aucun autre grief à l'encontre de l'autorisation litigieuse, ne critiquant pas l'application d'autres prescriptions, de droit fédéral, cantonal ou communal, sur les constructions.</w:t>
      </w:r>
    </w:p>
    <w:p>
      <w:r>
        <w:rPr>
          <w:b/>
        </w:rPr>
        <w:t>E. 3</w:t>
      </w:r>
    </w:p>
    <w:p>
      <w:r>
        <w:t>a) Aux termes de l'art. 75b al. 1 Cst., "les résidences secondaires constituent au maximum 20 % du parc des logements et de la surface brute au sol habitable de chaque commune". Cet article constitutionnel a été adopté en votation populaire le 11 mars 2012 et il est donc en vigueur depuis cette date (RO 2012 p. 3628). Le peuple et les cantons ont toutefois adopté simultanément la disposition transitoire suivante, à l'art. 197 ch. 9 Cst.: " 9. Dispositions transitoires ad art. 75b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2 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Leysin est une commune dans laquelle le parc des logements comporte plus de 20% de résidences secondaires, ni si les chalets projetés par la constructrice sont des résidences secondaires.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des recourants, mal fondés, doivent être rejetés.</w:t>
      </w:r>
    </w:p>
    <w:p>
      <w:r>
        <w:rPr>
          <w:b/>
        </w:rPr>
        <w:t>E. 4</w:t>
      </w:r>
    </w:p>
    <w:p>
      <w:r>
        <w:t>Le rejet du recours, dans la mesure où il est recevable, entraîne la confirmation des décisions attaquées qui lèvent les oppositions de Carole et Alain Bashorun, d'une part, et Anne Ganty-Desaulles, d'autre part. En tant que le recours est dirigé contre la décision du 31 décembre 2012 levant l'opposition de Helvetia Nostra, il est dénué d'objet, étant donné que ladite décision a déjà été confirmée dans un arrêt précédent pour les mêmes motifs  (cf. arrêt précité AC.2013.0109).  Les frais sont mis à la charge des recourants, solidairement entre eux  (art. 49 LPA-VD). La municipalité et la constructrice,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