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AC.2013.0117 vom 9. April 2013</w:t>
      </w:r>
    </w:p>
    <w:p>
      <w:r>
        <w:t>VD Tribunal cantonal, 2013-04-09, FR</w:t>
      </w:r>
    </w:p>
    <w:p>
      <w:r>
        <w:rPr>
          <w:b/>
        </w:rPr>
        <w:t xml:space="preserve">Quelle: </w:t>
      </w:r>
      <w:r>
        <w:t>https://mcp.opencaselaw.ch/entscheid/vd_omni_AC.2013.0117</w:t>
      </w:r>
    </w:p>
    <w:p>
      <w:r>
        <w:t>FR: VD_OMNI AC.2013.0117 du 9 avril 2013</w:t>
      </w:r>
    </w:p>
    <w:p>
      <w:r>
        <w:t>IT: VD_OMNI AC.2013.0117 del 9 aprile 2013</w:t>
      </w:r>
    </w:p>
    <w:p>
      <w:pPr>
        <w:pStyle w:val="Heading2"/>
      </w:pPr>
      <w:r>
        <w:t>Regeste</w:t>
      </w:r>
    </w:p>
    <w:p>
      <w:r>
        <w:t>HELVETIA NOSTRA, LIBANSKA WEHRLE, WEHRLE/Municipalité de Château-d'Oex, CF IMMOBILIER | Rejet, après le 1er janvier 2013, du recours déposé par Helvetia Nostra et les propriétaires voisins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De même, le Tribunal cantonal a déjà rejeté l'argument des recourants fondé sur l'art. 77 LATC. Recours au Tribunal fédéral admis (1C_468/2013 du 29 novembre 2013).</w:t>
      </w:r>
    </w:p>
    <w:p>
      <w:pPr>
        <w:pStyle w:val="Heading2"/>
      </w:pPr>
      <w:r>
        <w:t>Erwägungen</w:t>
      </w:r>
    </w:p>
    <w:p>
      <w:r>
        <w:rPr>
          <w:b/>
        </w:rPr>
        <w:t>E. 1</w:t>
      </w:r>
    </w:p>
    <w:p>
      <w:r>
        <w:t>Le recours est notamment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des recourants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De même, il n’est pas nécessaire d’examiner la qualité pour recourir de Catherine Libanska Wehrle et Luc Wehrle. La question de la recevabilité du recours peut ainsi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Château-d'Oex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w:t>
      </w:r>
    </w:p>
    <w:p>
      <w:r>
        <w:rPr>
          <w:b/>
        </w:rPr>
        <w:t>E. 3</w:t>
      </w:r>
    </w:p>
    <w:p>
      <w:r>
        <w:t>Les recourants invoquent encore l’art. 77 de la loi du 4 décembre 1985 sur l’aménagement du territoire et les constructions (LATC ; RSV 700.11). Cette disposition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Ce grief a également été écarté dans l’arrêt de principe du 22 novembre 2012 (AC.2012.0127, précité, consid. 3). Les arguments des parties ne conduisent pas à s'écarter de cette jurisprudence, à laquelle elles sont renvoyées, en tant que de besoin.</w:t>
      </w:r>
    </w:p>
    <w:p>
      <w:r>
        <w:rPr>
          <w:b/>
        </w:rPr>
        <w:t>E. 4</w:t>
      </w:r>
    </w:p>
    <w:p>
      <w:r>
        <w:t>Il résulte de ce qui précède que les griefs des recourants, mal fondés, doivent être rejetés.Le rejet du recours, dans la mesure où il est recevable, entraîne la confirmation de la décision attaquée. Les frais sont mis à la charge des recourants, qui succombent (art. 49 LPA-VD). La municipalité et la constructrice,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