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AC.2013.0091 vom 22. April 2013</w:t>
      </w:r>
    </w:p>
    <w:p>
      <w:r>
        <w:t>VD Tribunal cantonal, 2013-04-22, FR</w:t>
      </w:r>
    </w:p>
    <w:p>
      <w:r>
        <w:rPr>
          <w:b/>
        </w:rPr>
        <w:t xml:space="preserve">Quelle: </w:t>
      </w:r>
      <w:r>
        <w:t>https://mcp.opencaselaw.ch/entscheid/vd_omni_AC.2013.0091</w:t>
      </w:r>
    </w:p>
    <w:p>
      <w:r>
        <w:t>FR: VD_OMNI AC.2013.0091 du 22 avril 2013</w:t>
      </w:r>
    </w:p>
    <w:p>
      <w:r>
        <w:t>IT: VD_OMNI AC.2013.0091 del 22 aprile 2013</w:t>
      </w:r>
    </w:p>
    <w:p>
      <w:pPr>
        <w:pStyle w:val="Heading2"/>
      </w:pPr>
      <w:r>
        <w:t>Regeste</w:t>
      </w:r>
    </w:p>
    <w:p>
      <w:r>
        <w:t>HELVETIA NOSTRA/Municipalité de Gryon, PIERRE &amp; LOISIRS SA | L'art. 75b Cst. interprété en relation avec l'art. 197 ch. 9 Cst. ne peut pas faire obstacle à un permis de construire une résidence secondaire délivré en 2012. Recours admis par le Tribunal fédéral (1C_529/2013 du 29 novembre 2013, causes jointes AC.2013.0085, AC.2013.0086, AC.2013.0087, AC.2013.0088, AC.2013.0089, AC.2013.0090, AC.2013.0091).</w:t>
      </w:r>
    </w:p>
    <w:p>
      <w:pPr>
        <w:pStyle w:val="Heading2"/>
      </w:pPr>
      <w:r>
        <w:t>Erwägungen</w:t>
      </w:r>
    </w:p>
    <w:p>
      <w:r>
        <w:rPr>
          <w:b/>
        </w:rPr>
        <w:t>E. 1</w:t>
      </w:r>
    </w:p>
    <w:p>
      <w:r>
        <w:t>Le recours est formé par une organisation qui fait partie de la liste, établie par le Conseil fédéral, des organisations ayant qualité pour recourir au sens de l'art. 12 de la loi fédérale sur la protection de la nature et du paysage (LPN; RS 451 – cf. ch. 9 de la liste figurant dans l'ordonnance du 27 juin 1990 relative à la désignation des organisations habilitées à recourir dans les domaines de la protection de l’environnement ainsi que de la protection de la nature et du paysage [ODO; RS 814.076]). La jurisprudence fédérale prévoit que l'exercice de ce droit de recours suppose que la décision attaquée relève de l'application d'une tâche de la Confédération au sens de l'art. 2 LPN (cf. notamment ATF 131 II 58 consid. 1.1; 125 II 29 consid. 1b; 121 II 190 consid. 3c/aa). En l'espèce, dès lors que les griefs de la recourante sont de toute manière mal fondés, comme cela sera exposé au considérant suivant, il n'est pas nécessaire d'examiner si, en accordant une autorisation de construire pour un chalet dans la zone à bâtir, la municipalité accomplit une tâche de la Confédération, ou si au contraire elle accomplit une tâche que la législation fédérale sur l'aménagement du territoire attribue aux cantons, dans le cadre fixé par les principes du droit fédéral. La question de la recevabilité du recours peut demeurer indécise (cf. arrêt AC.2012.0127 du 22 novembre 2012 - premier arrêt de principe rendu par la CDAP sur les procédures d'Helvetia Nostra fondées sur l'art. 75b Cst. - consid. 1).</w:t>
      </w:r>
    </w:p>
    <w:p>
      <w:r>
        <w:rPr>
          <w:b/>
        </w:rPr>
        <w:t>E. 2</w:t>
      </w:r>
    </w:p>
    <w:p>
      <w:r>
        <w:t>Les permis de construire des résidences secondaires qui auront été délivrés entre le 1 er janvier de l’année qui suivra l’acceptation de l’art. 75b par le peuple et les cantons et la date d’entrée en vigueur de ses dispositions d’exécution seront nuls. " b) La Commune de Gryon fait partie, d'après le Conseil fédéral, des communes dans lesquelles le parc des logements comporte plus de 20 % de résidences secondaires (cf. annexe de l'ordonnance sur les résidences secondaires). Il n'y a cependant pas lieu d'examiner si la construction projetée est une résidence secondaire. En effet, dans son premier arrêt de principe AC.2012.0127 du 22 novembre 2012, précité, la Cour de droit administratif et public du Tribunal cantonal a jugé que l'art. 75b Cst. interprété en relation avec l'art. 197 ch. 9 Cst. ne pouvait pas faire obstacle à l'octroi d'un permis de construire une résidence secondaire lorsque la décision de la municipalité a été prise en 2012. Durant la période qui court de la date de l'adoption des normes constitutionnelles objet de l'initiative sur les résidences secondaires (11 mars 2012) jusqu'à la veille du 1 er janvier qui suivra cette adoption (soit le 31 décembre 2012 – cf. art. 197 ch. 9 al. 2 Cst.), l'entrée en vigueur de l'art. 75b Cst. n'entraîne pas encore la nullité ni l'annulabilité des autorisations de construire des résidences secondaires délivrées pendant ce laps de temps (consid. 2b-c de l'arrêt AC.2012.0127). Puis, dans un deuxième arrêt de principe AC.2012.0234 du 28 février 2013, la Cour de droit administratif et public du Tribunal cantonal a considéré qu'il résultait clairement de la disposition transitoire de l'art. 197 ch. 9 al. 2 Cst. que la date déterminante pour juger si un permis de construire une résidence secondaire est encore valable, ou si au contraire il est nul, est celle de la délivrance du permis par l'autorité administrative, et non pas celle de la décision de l'autorité cantonale de recours (consid. 2c de l'arrêt AC.2012.0234). En l'occurrence, la municipalité a décidé d'octroyer le permis de construire le 20 décembre 2012, soit avant la date limite fixée par la disposition transitoire. La Cour de céans, quand bien même elle statue après le 1 er janvier 2013, doit donc considérer que l'art. 75b Cst., appliqué avec la disposition transitoire de l'art. 197 ch. 9 al. 2 Cst., ne fait pas obstacle à l'octroi de l'autorisation litigieuse. L'ordonnance sur les résidences secondaires, entrée en vigueur le 1 er janvier 2013 (art. 9 al. 1 de dite ordonnance), n'avait pas à être appliquée par la municipalité à la date de la décision attaquée. S'agissant des permis de construire délivrés avant son entrée en vigueur, cette ordonnance du Conseil fédéral n'a à l'évidence pas pour effet de modifier le régime juridique résultant des art. 75b et 197 ch. 9 Cst. En l'espèce, il n'y a donc pas lieu de se prononcer sur la portée de cette ordonnance, ni sur les exceptions qu'elle prévoit. Il s'ensuit que les griefs de la recourante, mal fondés, doivent être rejetés.</w:t>
      </w:r>
    </w:p>
    <w:p>
      <w:r>
        <w:rPr>
          <w:b/>
        </w:rPr>
        <w:t>E. 3</w:t>
      </w:r>
    </w:p>
    <w:p>
      <w:r>
        <w:t>Le rejet du recours, dans la mesure où il est recevable, entraîne la confirmation de la décision attaquée. La recourante, qui succombe, supporte les frais de justice (art. 49 LPA-VD). Il n'y a pas matière à allocation de dépens, ni la constructrice ni l'autorité intimée n'ayant procédé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