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AC.2013.0081 vom 16. April 2013</w:t>
      </w:r>
    </w:p>
    <w:p>
      <w:r>
        <w:t>VD Tribunal cantonal, 2013-04-16, FR</w:t>
      </w:r>
    </w:p>
    <w:p>
      <w:r>
        <w:rPr>
          <w:b/>
        </w:rPr>
        <w:t xml:space="preserve">Quelle: </w:t>
      </w:r>
      <w:r>
        <w:t>https://mcp.opencaselaw.ch/entscheid/vd_omni_AC.2013.0081</w:t>
      </w:r>
    </w:p>
    <w:p>
      <w:r>
        <w:t>FR: VD_OMNI AC.2013.0081 du 16 avril 2013</w:t>
      </w:r>
    </w:p>
    <w:p>
      <w:r>
        <w:t>IT: VD_OMNI AC.2013.0081 del 16 aprile 2013</w:t>
      </w:r>
    </w:p>
    <w:p>
      <w:pPr>
        <w:pStyle w:val="Heading2"/>
      </w:pPr>
      <w:r>
        <w:t>Regeste</w:t>
      </w:r>
    </w:p>
    <w:p>
      <w:r>
        <w:t>HELVETIA NOSTRA/Municipalité d'Ollon, DUBI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Annulé par arrêt TF du 28.10.2013 (1C_498/2013)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d'Ollon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un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(AC.2012.0234, consid. 2c).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sont mal fondés.</w:t>
      </w:r>
    </w:p>
    <w:p>
      <w:r>
        <w:rPr>
          <w:b/>
        </w:rPr>
        <w:t>E. 3</w:t>
      </w:r>
    </w:p>
    <w:p>
      <w:r>
        <w:t>Le recours doit ainsi être rejeté dans la mesure où il est recevable et la décision entreprise confirmée.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