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AC.2012.0399 vom 26. März 2013</w:t>
      </w:r>
    </w:p>
    <w:p>
      <w:r>
        <w:t>VD Tribunal cantonal, 2013-03-26, FR</w:t>
      </w:r>
    </w:p>
    <w:p>
      <w:r>
        <w:rPr>
          <w:b/>
        </w:rPr>
        <w:t xml:space="preserve">Quelle: </w:t>
      </w:r>
      <w:r>
        <w:t>https://mcp.opencaselaw.ch/entscheid/vd_omni_AC.2012.0399</w:t>
      </w:r>
    </w:p>
    <w:p>
      <w:r>
        <w:t>FR: VD_OMNI AC.2012.0399 du 26 mars 2013</w:t>
      </w:r>
    </w:p>
    <w:p>
      <w:r>
        <w:t>IT: VD_OMNI AC.2012.0399 del 26 marzo 2013</w:t>
      </w:r>
    </w:p>
    <w:p>
      <w:pPr>
        <w:pStyle w:val="Heading2"/>
      </w:pPr>
      <w:r>
        <w:t>Regeste</w:t>
      </w:r>
    </w:p>
    <w:p>
      <w:r>
        <w:t>HELVETIA NOSTRA/Municipalité de Rossinière, BERDOZ | Rejet, après le 1er janvier 2013, du recours déposé par Helvetia Nostra contre un permis de construire une résidence secondaire: le tribunal a déjà jugé que les art. 75b et 197 ch. 9 Cst. ne font pas obstacle à l'octroi d'un permis de construire celui-ci est délivré en 2012, peu important à cet égard qu'il statue en instance de recours après le 1er janvier 2013. Recours au Tribunal fédéral admis (1C_429/2013 du 28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quatre chalets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Rossinière est une commune dans laquelle le parc des logements comporte plus de 20% de résidences secondaires, ni si le chalet projeté par les constructeurs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le Tribunal cantonal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(en l'espèce en 2012)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le constructeur,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