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AC.2012.0355 vom 1. Mai 2013</w:t>
      </w:r>
    </w:p>
    <w:p>
      <w:r>
        <w:t>VD Tribunal cantonal, 2013-05-01, FR</w:t>
      </w:r>
    </w:p>
    <w:p>
      <w:r>
        <w:rPr>
          <w:b/>
        </w:rPr>
        <w:t xml:space="preserve">Quelle: </w:t>
      </w:r>
      <w:r>
        <w:t>https://mcp.opencaselaw.ch/entscheid/vd_omni_AC.2012.0355</w:t>
      </w:r>
    </w:p>
    <w:p>
      <w:r>
        <w:t>FR: VD_OMNI AC.2012.0355 du 1 mai 2013</w:t>
      </w:r>
    </w:p>
    <w:p>
      <w:r>
        <w:t>IT: VD_OMNI AC.2012.0355 del 1 maggio 2013</w:t>
      </w:r>
    </w:p>
    <w:p>
      <w:pPr>
        <w:pStyle w:val="Heading2"/>
      </w:pPr>
      <w:r>
        <w:t>Regeste</w:t>
      </w:r>
    </w:p>
    <w:p>
      <w:r>
        <w:t>MANGEAT c/Municipalité de Tannay | Le régime particulier que crée l'art. 39 al. 4 RLATC consiste en ceci que contrairement aux constructions - dépendances ou autres - qui respectent les distances à la limite, qui doivent être autorisées dès qu'elles sont conformes au règlement, les dépendances, lorsqu'elles prennent place dans les "espaces réglementaires", ne sont admissibles que si elles n'entraînent pas pour les voisins des inconvénients appréciables, c'est-à-dire insupportables sans sacrifices excessifs. Ainsi doit-on, selon la jurisprudence constante, mettre en balance l'intérêt du constructeur à disposer de l'installation prévue à l'endroit projeté et l'intérêt éventuellement contraire des voisins à se prémunir contre les inconvénients de l'installation litigieuse.</w:t>
      </w:r>
    </w:p>
    <w:p>
      <w:pPr>
        <w:pStyle w:val="Heading2"/>
      </w:pPr>
      <w:r>
        <w:t>Erwägungen</w:t>
      </w:r>
    </w:p>
    <w:p>
      <w:r>
        <w:rPr>
          <w:b/>
        </w:rPr>
        <w:t>E. 1</w:t>
      </w:r>
    </w:p>
    <w:p>
      <w:r>
        <w:t>A titre liminaire, il sied d'examiner si l'armoire litigieuse est assujettie à une autorisation de construire. Le constructeur l'a contesté dans sa lettre du 30 novembre 2012 dirigée contre la décision attaquée et il a rappelé lui-même sa position lors de l'inspection locale. On rappellera tout d'abord que selon l'art. 22 de la loi fédérale du 22 juin 1979 sur l'aménagement du territoire (LAT; RS 700), aucune construction ou installation ne peut être créée ou transformée sans autorisation de l'autorité compétente. Selon la jurisprudence, cette disposition de droit fédéral soumet à autorisation les constructions nouvelles, les reconstructions, les constructions de remplacement, les transformations, les adjonctions, les changements d'affectation et les assainissements qui vont au-delà de la mesure usuelle d'une rénovation. Les cantons sont libres d'aller au-delà du standard minimum du droit fédéral et de soumettre à autorisation d'autres procédés encore. Ils peuvent également prévoir une procédure simplifiée pour des projets déterminés (on parle alors de "petit permis", (ATF 1C_157/2011 du 21 juillet 2011, consid. 3.1; v. par ex. 1C_12/2007 du 8 janvier 2008 consid. 2.2). De même, ils peuvent soumettre les constructions de minime importance à une simple obligation d'annonce ou même les exempter totalement d'autorisation dans la mesure où elles n'exercent aucune influence notable sur le territoire, l'équipement ou l'environnement. En revanche, les cantons ne peuvent pas exempter d'autorisation ce qui en requiert une d'après l'art. 22 LAT. La possibilité d'exempter d'autorisation relève de l'art. 22 LAT et constitue donc du droit fédéral (ATF 1C_514/2011  du 6 juin 2012; 1C_157/2011 du 21 juillet 2011 consid. 3.1; 1C_47/2008 du 8 août 2008 consid. 2.1 et les réf. citées). La notion de "construction ou installation" n'est pas définie dans la loi. Selon la jurisprudence, sont considérées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(ATF 1C_107/2011 du 5 septembre 2011 consid 3.2, et les réf. citées: ATF 119 Ib 222 consid. 3a p. 227; voir aussi ATF 123 II 256 consid. 3 p. 259; 120 Ib 379 consid. 3c p. 383 s.; 1C_75/2011 du 5 juillet 2011 consid. 2.1 ) .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(ATF 1C_509/2010 du 16 février 2011 consid. 2.3.1). Le droit fédéral n'exige pas que les constructions peu importantes dépourvues d'influence notable sur le territoire, l'équipement et l'environnement soient soumises à autorisation mais les cantons sont libres d'introduire une telle autorisation (ATF 1C_433/2007 du 11 mars 2008 consid. 4 ; 1C_12/2007 du 8 janvier 2008 consid. 2.2).</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Le recours est ainsi admis et la décision du 24 octobre 2012 annulée. Conformément aux art. 45, 49, 55, 91 et 99 LPA-VD, les frais et dépens sont mis à la charge de la partie qui succombe. Succombant, l'autorité intimée supporte l'émolument de justice ainsi que les dépens auxquels le recourant, assisté par un mandataire professionnel,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