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AC.2012.0348 vom 31. Juli 2013</w:t>
      </w:r>
    </w:p>
    <w:p>
      <w:r>
        <w:t>VD Tribunal cantonal, 2013-07-31, FR</w:t>
      </w:r>
    </w:p>
    <w:p>
      <w:r>
        <w:rPr>
          <w:b/>
        </w:rPr>
        <w:t xml:space="preserve">Quelle: </w:t>
      </w:r>
      <w:r>
        <w:t>https://mcp.opencaselaw.ch/entscheid/vd_omni_AC.2012.0348</w:t>
      </w:r>
    </w:p>
    <w:p>
      <w:r>
        <w:t>FR: VD_OMNI AC.2012.0348 du 31 juillet 2013</w:t>
      </w:r>
    </w:p>
    <w:p>
      <w:r>
        <w:t>IT: VD_OMNI AC.2012.0348 del 31 luglio 2013</w:t>
      </w:r>
    </w:p>
    <w:p>
      <w:pPr>
        <w:pStyle w:val="Heading2"/>
      </w:pPr>
      <w:r>
        <w:t>Regeste</w:t>
      </w:r>
    </w:p>
    <w:p>
      <w:r>
        <w:t>EGENER KUHN, KUHN, AEBI, CLEMENCE, MAZZIERI CLEMENCE, BORLOZ, SANGLARD, PITTET, ROULET, MARTANO, AGASSIS, MORISOD, MORISOD-AGUET, STECK/Municipalité de Suchy, GIRARDET, ATL HABITAT Sàrl | Permis de construire pour un bâtiment destiné à accueillir des entreprises artisanales dans une petite zone d'actvités. Nombre et activités des entreprises non déterminés au moment de la délivrance du permis de construire. Dossier contenant deux expertises (une faite à la demande de la municipalité et une à la demande des opposants recourants) relatives à la question des accès. Constat que, même dans l'hypothèse la plus défavorable en ce qui concerne la future utilisation du bâtiment (hypothèse dans laquelle 15 à 20 % des surfaces seraient consacrées à des activités avec vente), les accès seront suffisants. Grief relatif au nombre insuffisant de places de parc rejeté dès lors que tant le règlement du PPA que le règlement communal renvoient aux normes VSS, qui sont respectées dans le cas d'espèce.</w:t>
      </w:r>
    </w:p>
    <w:p>
      <w:pPr>
        <w:pStyle w:val="Heading2"/>
      </w:pPr>
      <w:r>
        <w:t>Erwägungen</w:t>
      </w:r>
    </w:p>
    <w:p>
      <w:r>
        <w:rPr>
          <w:b/>
        </w:rPr>
        <w:t>E. 1</w:t>
      </w:r>
    </w:p>
    <w:p>
      <w:r>
        <w:t>Les recourants soutiennent que, compte tenu des activités qui seront exercées dans le bâtiment litigieux, les accès prévus ne répondent pas aux exigences légales. Ils contestent à cet égard les prévisions de trafic figurant dans le rapport Christe et Gygax en relevant notamment que, contrairement à ce qui était mentionné dans l’arrêt AC.2011.0133, l’expert ne s’est pas fondé sur l’hypothèse la plus défavorable. Se basant sur une expertise privée (rapport RGR), ils soutiennent que, dans l’hypothèse la plus défavorable (attribution d’environ 15% des surfaces à des activités de vente du type artisanat ou petit commerce), le trafic journalier ouvrable moyen (TJOM) serait de 140 véhicules par jour et le trafic journalier moyen (lundi-dimanche; TJM) de 120 véhicules par jour et non pas de 60 véhicules par jour comme le retient le rapport Christe et Gygax. Ils soutiennent que, compte tenu de l’importance de ce trafic, les exigences en matière de sécurité du trafic ne sont pas remplies. De manière générale, ils font valoir que, en l’absence d’informations sur les entreprises qui occuperont les locaux, il n’est pas possible de déterminer si les accès seront suffisants. a) Selon les art. 22 al. 2 let. b LAT et 104 al. 3 de la loi du 4 décembre 1985 sur l’aménagement du territoire et les constructions (LATC; RSV 700.11),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ATF 121 I 65 consid. 3a p. 68 et les arrêts cités; ATF 1C_36/2010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1C_36/2010 précité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Selon la jurisprudence du Tribunal administratif et de la Cour de droit et administratif du Tribunal cantonal,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AC.2012.0083 du 27 novembre 2012 et les références). Pour apprécier si un accès est suffisant, la jurisprudence se réfère en général aux normes de l'Union des professionnels suisses de la route (norme VSS) qui sont prises en considération comme un avis d’expert (cf. AC.2006.0265 du 28 septembre 2007 consid. 2a, résumé in RDAF 2008 p. 241et les références), étant précisé que ces normes doivent être appliquées en fonction des circonstances concrètes et en accord avec les principes généraux du droit, dont celui de la proportionnalité (ATF 1P_157/2008 du 10 juillet 2008 consid. 2.1; ATF 1P.124/1977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2009, n. 18 ss ad art. 19; Piermarco Zen-Ruffinen/ Christine Guy-Ecabert, Aménagement du territoire, construction, expropriation, n. 700 ss, p. 324-328; Waldmann/Hänni, Raumplanungsgesetz, 2006, n. 21 ad art. 19). Une zone ou un terrain n'est également équipé en voie d'accès de manière adéquate au sens de l'art. 19 al. 1 LAT que si leur utilisation ne provoque pas des nuisances incompatibles avec les dispositions de la loi fédérale sur la protection de l'environnement (ATF 119 Ib 480 consid.</w:t>
      </w:r>
    </w:p>
    <w:p>
      <w:r>
        <w:rPr>
          <w:b/>
        </w:rPr>
        <w:t>E. 6</w:t>
      </w:r>
    </w:p>
    <w:p>
      <w:r>
        <w:t>Les recourants font encore valoir que le projet ne respecte pas une des conditions fixées dans la synthèse CAMAC, à savoir l’interdiction d’avoir des postes de travail permanents au niveau des mezzanines (cf. mémoire complémentaire des recourants Aebi et consorts p. 4 ch. 6). Dès lors qu’on ne sait pas quelles seront les entreprises qui occuperont le bâtiment et comment elles seront organisées, on ne saurait retenir a priori une violation de la condition fixée dans la synthèse CAMAC en ce qui concerne l’utilisation des mezzanine, étant précisé qu’il appartiendra aux entreprises concernées de respecter cette condition le moment venu.</w:t>
      </w:r>
    </w:p>
    <w:p>
      <w:r>
        <w:rPr>
          <w:b/>
        </w:rPr>
        <w:t>E. 7</w:t>
      </w:r>
    </w:p>
    <w:p>
      <w:r>
        <w:t>Il résulte des considérants que les recours doivent être rejetés et la décision attaquée confirmée. Vu le sort des recours, les frais de la cause seront partagés entre les recourants Kuhn, d’une part, et les recourants Aebi et consorts, d’autre part. La Commune de Suchy et la constructrice ATL Habitat Sàrl, qui ont procédé par l’intermédiaire d’un mandataire professionnel, ont droit à des dépens, qui seront pris en charge à parts égales par les recourants Kuhn et les recourants Aebi et consorts.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