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AC.2012.0326 vom 29. Oktober 2013</w:t>
      </w:r>
    </w:p>
    <w:p>
      <w:r>
        <w:t>VD Tribunal cantonal, 2013-10-29, FR</w:t>
      </w:r>
    </w:p>
    <w:p>
      <w:r>
        <w:rPr>
          <w:b/>
        </w:rPr>
        <w:t xml:space="preserve">Quelle: </w:t>
      </w:r>
      <w:r>
        <w:t>https://mcp.opencaselaw.ch/entscheid/vd_omni_AC.2012.0326</w:t>
      </w:r>
    </w:p>
    <w:p>
      <w:r>
        <w:t>FR: VD_OMNI AC.2012.0326 du 29 octobre 2013</w:t>
      </w:r>
    </w:p>
    <w:p>
      <w:r>
        <w:t>IT: VD_OMNI AC.2012.0326 del 29 ottobre 2013</w:t>
      </w:r>
    </w:p>
    <w:p>
      <w:pPr>
        <w:pStyle w:val="Heading2"/>
      </w:pPr>
      <w:r>
        <w:t>Regeste</w:t>
      </w:r>
    </w:p>
    <w:p>
      <w:r>
        <w:t>LEHNER/Municipalité de Montreux, PPE RESIDENCE A BON PORT, FIDFUND MANAGEMENT SA | Recours contre un refus de la Municipalité d'ordonner la modification d'une construction qui, selon les voisins recourants, ne serait pas conforme au permis de construire délivré (permis qui correspondait à un projet sur lequel les constructeurs et les voisins s'étaient mis d'accord) et ne serait pas réglementaire. Constat que la construction n'est effectivement pas conforme au permis de construire. Confirmation de la décision municipale dès lors que, pour l'essentiel, la construction est réglementaire, l'éventuelle non-réglementarité sur un point mineur ne justifiant pas, au regard du principe de la proportionnalité, un ordre de démolition et de remise en état.</w:t>
      </w:r>
    </w:p>
    <w:p>
      <w:pPr>
        <w:pStyle w:val="Heading2"/>
      </w:pPr>
      <w:r>
        <w:t>Erwägungen</w:t>
      </w:r>
    </w:p>
    <w:p>
      <w:r>
        <w:rPr>
          <w:b/>
        </w:rPr>
        <w:t>E. 1</w:t>
      </w:r>
    </w:p>
    <w:p>
      <w:r>
        <w:t>Il convient d’examiner en premier lieu si, comme le soutiennent les recourants, la façade Est du rez-de-chaussée du bâtiment accueillant le restaurant Bavaria, sur la parcelle 5212 de Montreux (anciennement parcelle 5215), n’est pas conforme aux permis de construire délivrés les 14 mars et 7 mai 2008. Il résulte du dossier que, au mois de décembre 2007, la constructrice et les recourants se sont mis d’accord sur l’implantation de la façade Est du bâtiment devant s’implanter sur la parcelle n° 5212 (anciennement n° 5215), bâtiment devant accueillir le restaurant La Bavaria. Cette implantation, qui diffère aussi bien de celle faisant l’objet de l’enquête publique principale (enquête du 15 décembre 2006 au 15 janvier 2007) que de celle faisant l’objet de l’enquête publique complémentaire (enquête du 14 décembre 2007 au 18 janvier 2008) figure sur des plans datés du 8 février 2008, qui ont été remis à la municipalité. Il résulte de la lettre d) du permis de construire délivré le 14 mars 2008 que l’implantation autorisée est celle figurant sur ces plans du 8 février 2008. Le permis de construire complémentaire délivré le 7 mai 2008 n’y change rien puisque ce dernier indique expressément que les exigences figurant dans le permis de construire du 14 mars 2008 demeurent valables. Il n’est pas contesté que l’implantation de la façade Est du rez-de-chaussée du bâtiment accueillant le restaurant Bavaria n’est pas conforme aux plans du 8 février 2008 concrétisant l’accord intervenu entre les parties. Partant, c’est à juste titre que les recourants soutiennent que les travaux réalisés ne sont pas conformes aux permis de construite qui ont été délivrés.</w:t>
      </w:r>
    </w:p>
    <w:p>
      <w:r>
        <w:rPr>
          <w:b/>
        </w:rPr>
        <w:t>E. 2</w:t>
      </w:r>
    </w:p>
    <w:p>
      <w:r>
        <w:t>Il convient d’examiner si, comme le soutiennent les recourants, il appartenait à la municipalité d’ordonner une modification de la construction réalisée, de manière à ce que la façade Est du rez-de-chaussée du bâtiment accueillant le restaurant Bavaria soit implantée conformément aux plans du 8 février 2008 et aux permis de construire délivrés. Cette question doit être examinée au regard des principes régissant les ordres de démolition et la remise en état des constructions non conformes aux prescriptions légales et réglementaires. a) Selon les art. 105 al. 1 et 130 al. 2 de la loi du 4 décembre 1985 sur l’aménagement du territoire (LATC; RSV 700.11),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Par démolition, il faut entendre non seulement la démolition proprement dite de travaux effectués sans droit, mais aussi la remise en état des lieux (arrêt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p. 175/176; 136 I 87 consid. 3.2 p. 91/92, 197 consid. 4.4.4 p. 205, et les arrêts cités). Même un constructeur qui n'est pas de bonne foi peut invoquer le principe de proportionnalité (arrêt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b) Il convient d’examiner en premier lieu si, malgré le fait qu’elle n’est pas conforme aux permis délivrés, l’implantation de la façade litigieuse est réglementaire. Si tel est le cas, un ordre de remise en état n’entre pas en considération. A cet égard, les recourants invoquent une violation de l’art. 2 du règlement du plan partiel d’affectation « A bon Port ». Ils font valoir que cette disposition prévoit une construction en contigu - comme prévu dans les plans du 8 février 2008 -  ou alors un retrait de 5 m au minimum, condition qui ne serait pas remplie en l’occurrence. aa) L’art. 2 du règlement du plan partiel d’affectation « A bon Port » a la teneur suivante : "A l’intérieur de l’îlot délimité par l’avenue du Casino et les rues du Théâtre et Nestlé, l’art. 11 RPA (profondeur des constructions en ordre contigu) n’est pas applicable en dessous du niveau moyen de l’avenue du Casino, au droit du secteur considéré. En outre, la distance prescrite par l’art. 13, premier alinéa du RPA est réduite à 5,00 m." Selon l’art. 11 du règlement sur le plan d’affectation et la police des constructions de la Commune de Montreux (RPA), la profondeur de la zone constructible en ordre contigu est fixée à 16 m dès la limite des constructions. Selon l’art. 13 al. 1 RPA, la distance entre les façades non contiguës, respectivement non mitoyennes (ou non implantées sur une limite des constructions) et les limites des parcelles voisines est de 7 m au moins. bb) En l’occurrence, on constate que la construction réalisée comprend un mur continu, implanté sur la limite de propriété et dépourvu d’ouvertures. Sur une partie de sa longueur, ce mur ne ferme pas les locaux nouvellement construits mais une courette triangulaire à la fonction difficilement reconnaissable, utilisée comme dépôt ou dégagement pour la cuisine du restaurant. Les deux autres murs de cette petite cour sont percés l’un d’une porte d’accès, l’autre de trois fenêtres éclairant la cuisine. Les recourants soutiennent que ces deux autres murs sont des façades et qu’ils ne sont implantés ni en limite de propriété, ni à la distance minimale de 5 m exigée par les art. 13 RPA et 2 du plan « A bon Port ». Cette critique ne convainc pas car les trois bâtiments des parcelles n os 5212 et 5215 sont globalement implantés en ordre contigu sur la limite des parcelles n os 5214 et 5216. La courette aménagée au centre de cet ensemble n’est pas assez importante, au regard de ses dimensions modestes et de sa fonction secondaire, voire insignifiante, pour provoquer une rupture de la contiguïté. Partant, le Tribunal cantonal retient que la construction réalisée est compatible avec ces dispositions réglementaires. Les recourants soutiennent également que la présence de la courette les empêchera d’implanter eux-mêmes une construction sur la limite de propriété. Cette crainte n’est pas fondée car d’après le plan « A bon Port », chaque propriétaire peut construire à son gré en limite de propriété, certes dans certaines limites mais indépendamment de l’implantation choisie par le propriétaire voisin. On constate enfin que le mur construit en limite ne rejoint pas tout à fait l’angle du bâtiment sis sur la parcelle n° 5215 et qu’il laisse ainsi un minuscule triangle non occupé. Même si on devait constater une violation du règlement sur ce point, elle ne saurait en tous les cas, sous l’angle du principe de la proportionnalité, justifier un ordre de remise en état.</w:t>
      </w:r>
    </w:p>
    <w:p>
      <w:r>
        <w:rPr>
          <w:b/>
        </w:rPr>
        <w:t>E. 3</w:t>
      </w:r>
    </w:p>
    <w:p>
      <w:r>
        <w:t>Vu ce qui précède, c’est à juste titre que la municipalité n’a pas donné suite à la demande des recourants tendant à la mise en conformité des ouvrages litigieux avec les autorisations délivrées, subsidiairement à la soumission de ces ouvrages à une procédure d’autorisation de construire formelle. Le recours doit par conséquent être rejeté et la décision attaquée confirmée. Vu le sort du recours, les frais sont mis à la charge de des recourants. Ces derniers verseront en outre des dépens à la Commune de Montreux,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