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AC.2012.0321 vom 26. Februar 2013</w:t>
      </w:r>
    </w:p>
    <w:p>
      <w:r>
        <w:t>VD Tribunal cantonal, 2013-02-26, FR</w:t>
      </w:r>
    </w:p>
    <w:p>
      <w:r>
        <w:rPr>
          <w:b/>
        </w:rPr>
        <w:t xml:space="preserve">Quelle: </w:t>
      </w:r>
      <w:r>
        <w:t>https://mcp.opencaselaw.ch/entscheid/vd_omni_AC.2012.0321</w:t>
      </w:r>
    </w:p>
    <w:p>
      <w:r>
        <w:t>FR: VD_OMNI AC.2012.0321 du 26 février 2013</w:t>
      </w:r>
    </w:p>
    <w:p>
      <w:r>
        <w:t>IT: VD_OMNI AC.2012.0321 del 26 febbraio 2013</w:t>
      </w:r>
    </w:p>
    <w:p>
      <w:pPr>
        <w:pStyle w:val="Heading2"/>
      </w:pPr>
      <w:r>
        <w:t>Regeste</w:t>
      </w:r>
    </w:p>
    <w:p>
      <w:r>
        <w:t>SCHMOCKER/Municipalité de St-Légier-La Chiésaz | Rappel de la jurisprudence au sujet de la possibilité, pour la municipalité, de s'écarter de la règle selon laquelle elle doit mettre à l'enquête publique une demande de permis de construire (consid. 2a). En l'occurence, vu les nombreux points à éclaircir en relation avec l'application de la législation forestière, et dès lors qu'un examen prima facie du projet du constructeur ne révélait aucune irrégularité manifeste, la municipalité n'était pas fondée à mettre directement fin à la procédure administrative sans suivre les règles ordinaires, en particulier sans mettre le projet à l'enquête publique (consid. 2b).</w:t>
      </w:r>
    </w:p>
    <w:p>
      <w:pPr>
        <w:pStyle w:val="Heading2"/>
      </w:pPr>
      <w:r>
        <w:t>Erwägungen</w:t>
      </w:r>
    </w:p>
    <w:p>
      <w:r>
        <w:rPr>
          <w:b/>
        </w:rPr>
        <w:t>E. 1</w:t>
      </w:r>
    </w:p>
    <w:p>
      <w:r>
        <w:t>La décision attaquée est un refus de mise à l'enquête publique d'une demande d'autorisation requise sur la base de la loi du 4 décembre 1985 sur l'aménagement du territoire et les constructions (LATC; RSV 700.11). Il ne s'agit pas à proprement parler d'un refus d'autorisation, mais cette décision a le même effet, puisqu'elle met fin à la procédure administrative engagée par le recourant devant la municipalité. Une telle décision peut faire l'objet d'un recours de droit administratif au Tribunal cantonal, selon les art. 92 ss de la loi du 28 octobre 2008 sur la procédure administrative (LPA-VD; RS 173.36). La qualité pour recourir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Dans le cas particulier, le recourant remplit manifestement ces conditions. Il y a donc lieu d'entrer en matière, l'acte de recours respectant au demeurant les autres exigences légales de recevabilité.</w:t>
      </w:r>
    </w:p>
    <w:p>
      <w:r>
        <w:rPr>
          <w:b/>
        </w:rPr>
        <w:t>E. 2</w:t>
      </w:r>
    </w:p>
    <w:p>
      <w:r>
        <w:t>L'autorisation préalable d'implantation est périmée si, dans les deux ans dès sa délivrance, elle n'est pas suivie d'une demande de permis de construire.</w:t>
      </w:r>
    </w:p>
    <w:p>
      <w:r>
        <w:rPr>
          <w:b/>
        </w:rPr>
        <w:t>E. 3</w:t>
      </w:r>
    </w:p>
    <w:p>
      <w:r>
        <w:t>Le recours doit en conséquence être admis. La décision attaquée doit être annulée et, conformément aux conclusions prises par le recourant, la cause doit être renvoyée à la municipalité afin qu'elle mette à l'enquête publique la demande d'autorisation préalable d'implantation. Le présent arrêt doit être rendu sans frais. Le recourant, qui obtient gain de cause avec l'assistance d'un avocat, a droit à des dépens, à la charge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