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AC.2012.0312 vom 6. März 2014</w:t>
      </w:r>
    </w:p>
    <w:p>
      <w:r>
        <w:t>VD Tribunal cantonal, 2014-03-06, FR</w:t>
      </w:r>
    </w:p>
    <w:p>
      <w:r>
        <w:rPr>
          <w:b/>
        </w:rPr>
        <w:t xml:space="preserve">Quelle: </w:t>
      </w:r>
      <w:r>
        <w:t>https://mcp.opencaselaw.ch/entscheid/vd_omni_AC.2012.0312</w:t>
      </w:r>
    </w:p>
    <w:p>
      <w:r>
        <w:t>FR: VD_OMNI AC.2012.0312 du 6 mars 2014</w:t>
      </w:r>
    </w:p>
    <w:p>
      <w:r>
        <w:t>IT: VD_OMNI AC.2012.0312 del 6 marzo 2014</w:t>
      </w:r>
    </w:p>
    <w:p>
      <w:pPr>
        <w:pStyle w:val="Heading2"/>
      </w:pPr>
      <w:r>
        <w:t>Regeste</w:t>
      </w:r>
    </w:p>
    <w:p>
      <w:r>
        <w:t>NEYROUD/Municipalité de Chardonne, NEYROUD | Confirmation de l'ordre de démolition d'un couvert en appentis "provisoire" destiné à abriter un pressoir, avant un agrandissement projeté des locaux de l'exploitation viticole. Cet ouvrage est soumis à autorisation de construire. La Municipalité est fondée à retenir qu'elle n'aurait pas pu l'autoriser, car son aspect architectural, dans le village de Chardonne, n'est pas satisfaisant.</w:t>
      </w:r>
    </w:p>
    <w:p>
      <w:pPr>
        <w:pStyle w:val="Heading2"/>
      </w:pPr>
      <w:r>
        <w:t>Erwägungen</w:t>
      </w:r>
    </w:p>
    <w:p>
      <w:r>
        <w:rPr>
          <w:b/>
        </w:rPr>
        <w:t>E. 1</w:t>
      </w:r>
    </w:p>
    <w:p>
      <w:r>
        <w:t>L'ordre de remise en état est une décision susceptible de recours au sens de l'art. 74 al. 1 de la loi du 28 octobre 2008 sur la procédure administrative (LPA-VD; RSV 173.36), par renvoi de l'art. 99 LPA-VD. Le présent recours a été déposé en temps utile et il respecte les exigences légales de motivation (art. 76, 77 et 79 LPA-VD). La qualité pour recourir, définie à l'art. 75 LPA-VD (par renvoi de l'art. 99 LPA-VD), doit manifestement être reconnue au propriétaire de l'ouvrage visé. Il y a lieu d'entrer en matière.</w:t>
      </w:r>
    </w:p>
    <w:p>
      <w:r>
        <w:rPr>
          <w:b/>
        </w:rPr>
        <w:t>E. 2</w:t>
      </w:r>
    </w:p>
    <w:p>
      <w:r>
        <w:t>Le recourant soutient que l'appentis ou couvert litigieux n'est pas une construction ou une installation soumise à autorisation de construire. a) Aux termes de l'art. 103 al. 1 de la loi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S'agissant des ouvrages non soumis à autorisation, l'art. 103 LATC précise ce qui suit, à ses alinéas 2 et 3: 2.           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 3            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 Le règlement cantonal (règlement du 19 septembre 1986 d'application de la LATC [RLATC; RSV 700.11.1]), auquel renvoie l'art. 103 al. 2 in fine LATC, contient à son art. 68a al. 2, une énumération des projets de construction qui peuvent ne pas être soumis à autorisation: a. les constructions et les installations de minime importance ne servant pas à l'habitation ou à l'activité professionnelle dont l'utilisation est liée à l'occupation du bâtiment principal à proximité duquel elles se situent telles que : – bûchers, cabanes de jardin ou serres d'une surface maximale de 8 m² à raison d'une installation par bâtiment ou unité de maisons jumelles ou groupées ; – pergolas non couvertes d'une surface maximale de 12 m² ; – abris pour vélos, non fermés, d'une surface maximale de 6 m² ; – fontaines, sculptures, cheminées de jardin autonomes ; – sentiers piétonniers privés ; – panneaux solaires d'une surface maximale de 8 m² ; – panneaux solaires d'une surface maximale de 32 m² intégrés dans le plan du toit et ne dépassant pas de plus de 10 cm la couverture de celui-ci ; b. les aménagements extérieurs, les excavations et les travaux de terrassement de minime importance tels que – clôtures ne dépassant pas 1,20 m de hauteur ; – excavations et travaux de terrassement ne dépassant pas la hauteur de 0,50 m et le volume de 10 m³ ; c. les constructions et les installations mises en place pour une durée limitée telles que – chenilles ou tunnels maraîchers saisonniers liés à une exploitation agricole ou horticole ne dépassant pas une hauteur de 3 m ; – filets anti-grêle liés à une exploitation agricole déployés temporairement ; – constructions mobilières comme halles de fête, chapiteaux de cirque, tribunes et leurs installations annexes pour 3 mois au maximum ; – stationnement de bateaux, de caravanes et de mobilhomes non utilisés, pendant la saison morte ; d. les démolitions de bâtiments de minime importance au sens de l'article 72d, alinéa 1, du règlement. b) Le couvert ou appentis litigieux a une surface nettement supérieure à celle des constructions de minime importance mentionnées à l'art. 68a al. 2 let. a RLATC et qui sont des annexes à un bâtiment principal (cabanes de jardin, abris pour vélos non fermés, etc.). Même s'il est décrit comme provisoire, ce couvert n'a pas été conçu comme une construction mise en place pour une durée limitée ou saisonnière, et il n'est pas directement comparable aux installations énumérées à l'art. 68a al. 2 let. c RLATC (qui précise la notion de l'art. 103 al. 2 let. c LATC). Comme cela a pu être constaté lors de l'inspection locale, ce couvert est une installation suffisamment importante, en raison de sa surface, de sa visibilité et de son utilisation régulière dans le cadre de l'exploitation viticole, pour qu'il soit soumis aux exigences ordinaires pour les constructions qui ne sont pas de minime importance, à savoir en premier lieu la soumission à une procédure d'autorisation de construire. La municipalité était donc fondée à retenir que le couvert n'était pas réglementaire parce qu'il n'avait pas été autorisé sur la base de l'art. 103 LATC.</w:t>
      </w:r>
    </w:p>
    <w:p>
      <w:r>
        <w:rPr>
          <w:b/>
        </w:rPr>
        <w:t>E. 3</w:t>
      </w:r>
    </w:p>
    <w:p>
      <w:r>
        <w:t>Le recourant fait valoir que le couvert litigieux est un ouvrage conforme à la destination de la zone de villages – plus précisément du périmètre d'évolution des locaux pour exploitations viticoles (périmètre hachuré beige-orange) – puisqu'il sert à abriter du matériel de son exploitation viticole. La municipalité ne conteste pas qu'il s'agit d'un ouvrage utilisé dans le cadre d'une telle exploitation mais elle retient que la construction d'un abri rudimentaire coiffé d'une couverture ondulée rouge et laissant à la vue un pressoir n'est pas admissible au regard des normes du règlement communal sur le plan général d'affectation et la police des constructions (RPGA) qui fixent des critères architecturaux et esthétiques qualifiés. L'art. 56 al. 1 RPGA dispose ainsi que "la municipalité veille particulièrement à ce que les nouvelles constructions aient un aspect architectural s'intégrant au site et n'y jetant pas une note discordante" (l'art. 53 al. 2 RPGA prévoit une règle analogue pour les aménagements extérieurs). La municipalité précise que, comme le village de Chardonne est compris dans le territoire des villages et hameaux du plan de protection de Lavaux, et que la façade sud de la maison du recourant est en front de village, les principes énoncés à l'art. 18 de la loi du 12 février 1979 sur le plan de protection de Lavaux (LLavaux, RSV 701.43) posent des exigences particulières en matière d'intégration des nouvelles constructions (la municipalité cite l'art. 18 let. b LLavaux, qui dispose que " la silhouette générale est protégée, les fronts extérieurs restent dégagés, l'image de l'ensemble en vue plongeante est préservée "). L'appréciation de la municipalité, à propos du caractère peu esthétique ou mal intégré de la construction litigieuse, n'est pas critiquable. D'après la jurisprudence, il incombe au premier chef aux autorités communales de veiller à l'aspect architectural des constructions; elles disposent à cet égard d'un large pouvoir d'appréciation (cf., notamment arrêts AC.2012.0358 du 7 août 2013 consid. 2c; AC.2012.0340 du 2 août 2013 consid. 5bb; AC.2012.0253 du 7 juillet 2013, consid. 4a). En l'occurrence, ce sont des motifs objectifs qui ont été retenus pour refuser une régularisation par l'octroi d'un permis de construire a posteriori et il a pu être constaté, lors de l'inspection locale, que l'application d'exigences élevées pour l'intégration des constructions sur le front sud du village de Chardonne était justifiée. C'est donc à tort que le recourant prétend que son ouvrage est en tous points conforme à la réglementation communale.</w:t>
      </w:r>
    </w:p>
    <w:p>
      <w:r>
        <w:rPr>
          <w:b/>
        </w:rPr>
        <w:t>E. 4</w:t>
      </w:r>
    </w:p>
    <w:p>
      <w:r>
        <w:t>Le recourant se plaint d'une violation du droit d'être entendu parce que, d'après lui, il n'a pas été invité à s'expliquer avant l'ordre de démolition. Ce grief est mal fondé: la municipalité a expliqué dans sa réponse, sans être ensuite contredite, que les deux responsables du dossier - le conseiller municipal et le technicien communal – avaient rencontré le recourant la veille de la décision et lui avaient permis de s'exprimer. Confrontée à une construction réalisée sans autorisation, le municipalité devait agir rapidement et elle pouvait ordonner la remise en état sans fixer préalablement au propriétaire concerné un délai pour le dépôt d'observations écrites. Au demeurant, le recourant a pu préciser sa position dans le cadre de la procédure de recours. Le grief de violation du droit d'être entendu est mal fondé.</w:t>
      </w:r>
    </w:p>
    <w:p>
      <w:r>
        <w:rPr>
          <w:b/>
        </w:rPr>
        <w:t>E. 5</w:t>
      </w:r>
    </w:p>
    <w:p>
      <w:r>
        <w:t>Le recourant allègue, sans toutefois le prouver, que les "conseillers municipaux en charge du dicastère de la police des constructions" lui auraient dit qu'il pourrait construire un couvert ou une annexe démontable d'une surface n'excédant pas 20 m 2 sans demande d'autorisation ni mise à l'enquête publique. Il se plaint d'une violation du principe de la bonne foi. La question litigieuse n'est pas celle de la dispense d'enquête publique (cf. art. 111 LATC), mais bien celle de la nécessité d'obtenir une autorisation de construire. Or le recourant ne démontre pas que sur ce point, il aurait reçu des assurances formelles, de la part de l'autorité compétente pour appliquer l'art. 103 al. 2 LATC ainsi que l'art. 68a al. 2 RLATC (cf. supra, consid. 2a – à savoir la municipalité), en relation avec son projet d'appentis pour pressoir. Or la protection de la bonne foi du constructeur, fondée sur l'art. 9 Cst., ne peut entrer en considération que s'il est établi, notamment, que des renseignements lui ont été donnés sans réserve, en vue de la réalisation d'un projet concret, par l'autorité compétente ou par un organe que l'intéressé avait de bons motifs de reconnaître comme compétent (ATF 137 II 182 consid. 3.6.2 et les arrêts cités). Le moyen tiré de la bonne foi n'est donc pas concluant.</w:t>
      </w:r>
    </w:p>
    <w:p>
      <w:r>
        <w:rPr>
          <w:b/>
        </w:rPr>
        <w:t>E. 6</w:t>
      </w:r>
    </w:p>
    <w:p>
      <w:r>
        <w:t>Il résulte des considérants que le recours, entièrement mal fondé, doit être rejeté. Cela entraîne la confirmation de la décision attaquée, en tant qu'elle ordonne la démolition de l'ouvrage litigieux. Cela étant, il incombera à la municipalité de fixer un nouveau délai d'exécution. Le recourant, qui succombe, supportera les frais de justice (art. 49 LPA-VD). Il sera en outre condamné à verser des dépens à la commune de Chardonne, représentés par un avocat (art. 55 LPA-VD). La propriétaire voisine, qui souhaitait intervenir comme tiers intéressé mais qui n'a pas participé à la présente procédure – dès lors qu'elle a en définitive renoncé à se déterminer, se bornant à s'en remettre à justice –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