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AC.2012.0310 vom 12. März 2013</w:t>
      </w:r>
    </w:p>
    <w:p>
      <w:r>
        <w:t>VD Tribunal cantonal, 2013-03-12, FR</w:t>
      </w:r>
    </w:p>
    <w:p>
      <w:r>
        <w:rPr>
          <w:b/>
        </w:rPr>
        <w:t xml:space="preserve">Quelle: </w:t>
      </w:r>
      <w:r>
        <w:t>https://mcp.opencaselaw.ch/entscheid/vd_omni_AC.2012.0310</w:t>
      </w:r>
    </w:p>
    <w:p>
      <w:r>
        <w:t>FR: VD_OMNI AC.2012.0310 du 12 mars 2013</w:t>
      </w:r>
    </w:p>
    <w:p>
      <w:r>
        <w:t>IT: VD_OMNI AC.2012.0310 del 12 marzo 2013</w:t>
      </w:r>
    </w:p>
    <w:p>
      <w:pPr>
        <w:pStyle w:val="Heading2"/>
      </w:pPr>
      <w:r>
        <w:t>Regeste</w:t>
      </w:r>
    </w:p>
    <w:p>
      <w:r>
        <w:t>SOTORNIK/Municipalité de Bourg-en-Lavaux, KAPPERT, Commission des rives du lac | Le propriétaire d'une parcelle située à 1 km n'a pas qualité pour recourir contre la délivrance d'un permis pour la construction d'une villa et l'agrandissement d'un garage à bateaux. Peu importe à cet égard que le recourant soit propriétaire d'une parcelle régie par le même PPA ou que le projet soit prévu dans une région soumise à une protection particulière (plan de protection de Lavaux).</w:t>
      </w:r>
    </w:p>
    <w:p>
      <w:pPr>
        <w:pStyle w:val="Heading2"/>
      </w:pPr>
      <w:r>
        <w:t>Erwägungen</w:t>
      </w:r>
    </w:p>
    <w:p>
      <w:r>
        <w:rPr>
          <w:b/>
        </w:rPr>
        <w:t>E. 1</w:t>
      </w:r>
    </w:p>
    <w:p>
      <w:r>
        <w:t>km de la parcelle sur laquelle doit s’implanter le projet litigieux. Dans son pourvoi, il invoque uniquement des motifs de police des constructions, s’en prenant plus particulièrement aux dimensions et à l’impact paysager du hangar à bateaux. Il ne fait ainsi pas valoir, à juste titre, que la construction litigieuse va provoquer des nuisances, par exemple des immissions de bruit, qui seraient susceptibles de l’affecter. Vu ce qui précède, le recourant ne dispose pas d'un intérêt digne de protection susceptible de lui conférer la qualité pour recourir. On se trouve ainsi en présence d’un recours formé dans l'intérêt de la loi, qui est irrecevable. Peu importe à cet égard que le recourant soit propriétaire d’une parcelle régie par le même PPA ou que le projet soit prévu dans une région soumise à une protection particulière. On relèvera encore que le recourant ne peut pas se prévaloir du fait que son père est propriétaire d’une parcelle voisine de la parcelle n° 9012. Cas échéant, il appartenait en effet à ce dernier de formuler une opposition puis de recourir, ce qu’il n’a pas fait. 2.                Il résulte de ce qui précède que le recours est irrecevable et que la décision attaquée doit être confirmée. Vu le sort du recours, un émolument est mis à la charge du recourant. Ce dernier versera en outre des dépens à la Commune de Bourg-en-Lavaux et au propriétaire, qui ont tous deux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