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AC.2012.0291 vom 28. Dezember 2012</w:t>
      </w:r>
    </w:p>
    <w:p>
      <w:r>
        <w:t>VD Tribunal cantonal, 2012-12-28, FR</w:t>
      </w:r>
    </w:p>
    <w:p>
      <w:r>
        <w:rPr>
          <w:b/>
        </w:rPr>
        <w:t xml:space="preserve">Quelle: </w:t>
      </w:r>
      <w:r>
        <w:t>https://mcp.opencaselaw.ch/entscheid/vd_omni_AC.2012.0291</w:t>
      </w:r>
    </w:p>
    <w:p>
      <w:r>
        <w:t>FR: VD_OMNI AC.2012.0291 du 28 décembre 2012</w:t>
      </w:r>
    </w:p>
    <w:p>
      <w:r>
        <w:t>IT: VD_OMNI AC.2012.0291 del 28 dicembre 2012</w:t>
      </w:r>
    </w:p>
    <w:p>
      <w:pPr>
        <w:pStyle w:val="Heading2"/>
      </w:pPr>
      <w:r>
        <w:t>Regeste</w:t>
      </w:r>
    </w:p>
    <w:p>
      <w:r>
        <w:t>HELVETIA NOSTRA/Municipalité d'Ollon, ROULNET SA, GIRARDET | L'art. 75b Cst. interprété en relation avec l'art. 197 ch. 9 Cst. ne peut pas faire obstacle à un permis de construire une résidence secondaire délivré en 2012. Annulé par arrêt TF du 28 octobre 2013 (1C_152/2013).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aux considérants suivants, il n'est pas nécessaire d'examiner si, en accordant une autorisation de construire pour une habitation familiale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"leading case" pour cette problématique).</w:t>
      </w:r>
    </w:p>
    <w:p>
      <w:r>
        <w:rPr>
          <w:b/>
        </w:rPr>
        <w:t>E. 2</w:t>
      </w:r>
    </w:p>
    <w:p>
      <w:r>
        <w:t>Au sens de l’art. 82 LPA-VD, l’autorité peut renoncer à l’échange d’écritures ou, après celui-ci, à toute autre mesure d’instruction, lorsque le recours parait manifestement irrecevable, bien ou mal fondé (al. 1). Dans ces cas, elle rend à bref délai une décision d’irrecevabilité, d’admission ou de rejet, sommairement motivé (al. 2). Le présent recours est manifestement mal fondé selon les considérants qui suivent.</w:t>
      </w:r>
    </w:p>
    <w:p>
      <w:r>
        <w:rPr>
          <w:b/>
        </w:rPr>
        <w:t>E. 3</w:t>
      </w:r>
    </w:p>
    <w:p>
      <w:r>
        <w:t>L'association recourante se plaint d'une violation de l'art. 75b Cst. Elle ne présente aucun autre grief. En particulier, elle ne reprend pas l’argument de son opposition selon lequel la Municipalité aurait dû refuser le permis de construire sur la base de l'art. 77 LATC (effet anticipé des plans et règlements en voie d'élaboration), et n’invoque pas d’autres normes du droit de l'aménagement du territoire qui auraient été mal appliquées. a)  Aux termes de l'art. 75b al. 1 Cst., " les résidences secondaires constituent au maximum 20 % du parc des logements et de la surface brute au sol habitable de chaque commune ". Cet article constitutionnel a été adopté en votation populaire le 11 mars 2012 et il est donc en vigueur depuis cette date (RO 2012 p. 3628). Le peuple et les cantons ont toutefois adopté simultanément la disposition transitoire suivante, à l'art. 197 ch. 9 Cst.: " 9. Dispositions transitoires ad art. 75b (Résidences secondaires) 1 Le Conseil fédéral édicte par voie d’ordonnance les dispositions d’exécution nécessaires sur la construction, la vente et l’enregistrement au registre foncier si la législation correspondante n’est pas entrée en vigueur deux ans après l’acceptation de l’art. 75b par le peuple et les cantons. 2 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d’Ollon est une commune dans laquelle le parc des logements comporte plus de 20 % de résidences secondaires, ni si le chalet projeté par le constructeur est une résidence secondaire. En effet, dans son arrêt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Il s'ensuit que les griefs de la recourante, manifestement mal fondés, doivent être rejetés.</w:t>
      </w:r>
    </w:p>
    <w:p>
      <w:r>
        <w:rPr>
          <w:b/>
        </w:rPr>
        <w:t>E. 4</w:t>
      </w:r>
    </w:p>
    <w:p>
      <w:r>
        <w:t>Le rejet du recours, dans la mesure où il est recevable, entraîne la confirmation de la décision attaquée. La recourante, qui succombe, supporte les frais de justice (art. 49 LPA-VD). Le présent arrêt étant rendu en application de l’art. 82 LPA-VD sans réponse de l’autorité intimée ni déterminations de la part du constructeur,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