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AC.2012.0285 vom 19. Dezember 2012</w:t>
      </w:r>
    </w:p>
    <w:p>
      <w:r>
        <w:t>VD Tribunal cantonal, 2012-12-19, FR</w:t>
      </w:r>
    </w:p>
    <w:p>
      <w:r>
        <w:rPr>
          <w:b/>
        </w:rPr>
        <w:t xml:space="preserve">Quelle: </w:t>
      </w:r>
      <w:r>
        <w:t>https://mcp.opencaselaw.ch/entscheid/vd_omni_AC.2012.0285</w:t>
      </w:r>
    </w:p>
    <w:p>
      <w:r>
        <w:t>FR: VD_OMNI AC.2012.0285 du 19 décembre 2012</w:t>
      </w:r>
    </w:p>
    <w:p>
      <w:r>
        <w:t>IT: VD_OMNI AC.2012.0285 del 19 dicembre 2012</w:t>
      </w:r>
    </w:p>
    <w:p>
      <w:pPr>
        <w:pStyle w:val="Heading2"/>
      </w:pPr>
      <w:r>
        <w:t>Regeste</w:t>
      </w:r>
    </w:p>
    <w:p>
      <w:r>
        <w:t>HELVETIA NOSTRA/Municipalité de Leysin, FRACHEBOUD | Rejet du recours déposé par Helvetia Nostra contre un permis de construire une résidence secondaire: le Tribunal cantonal a déjà jugé que les art. 75b et 197 ch. 9 Cst. ne font pas obstacle à l'octroi d'un permis de construire lorsque celui-ci est délivré en 2012. Cause portée au Tribunal fédéral, puis rayée du rôle suite au retrait de la demande de permis de construire (ATF 1C_148/2013 du 11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"leading case"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Leysin est une commune dans laquelle le parc des logements comporte plus de 20% de résidences secondaires, ni si le chalet projeté par les constructeurs est une résidence secondaire. En effet, dans son arrêt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Il s'ensuite que les griefs de la recourante, mal fondés, doivent être rejetés.</w:t>
      </w:r>
    </w:p>
    <w:p>
      <w:r>
        <w:rPr>
          <w:b/>
        </w:rPr>
        <w:t>E. 3</w:t>
      </w:r>
    </w:p>
    <w:p>
      <w:r>
        <w:t>Le rejet du recours, dans la mesure où il est recevable, entraîne la confirmation de la décision attaquée. La recourante, qui succombe, supporte les frais de justice (art. 49 LPA-VD). La municipalité et les constructeurs,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