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AC.2012.0205 vom 19. Februar 2013</w:t>
      </w:r>
    </w:p>
    <w:p>
      <w:r>
        <w:t>VD Tribunal cantonal, 2013-02-19, FR</w:t>
      </w:r>
    </w:p>
    <w:p>
      <w:r>
        <w:rPr>
          <w:b/>
        </w:rPr>
        <w:t xml:space="preserve">Quelle: </w:t>
      </w:r>
      <w:r>
        <w:t>https://mcp.opencaselaw.ch/entscheid/vd_omni_AC.2012.0205</w:t>
      </w:r>
    </w:p>
    <w:p>
      <w:r>
        <w:t>FR: VD_OMNI AC.2012.0205 du 19 février 2013</w:t>
      </w:r>
    </w:p>
    <w:p>
      <w:r>
        <w:t>IT: VD_OMNI AC.2012.0205 del 19 febbraio 2013</w:t>
      </w:r>
    </w:p>
    <w:p>
      <w:pPr>
        <w:pStyle w:val="Heading2"/>
      </w:pPr>
      <w:r>
        <w:t>Regeste</w:t>
      </w:r>
    </w:p>
    <w:p>
      <w:r>
        <w:t>BUSSY/Municipalité de Crans-près-Céligny, BASSET | N'a pas qualité pour recourir contre un projet de construction, le voisin domicilié à 300 m. de la construction projetée et qui n'invoque aucune atteinte que le projet serait susceptible de lui occasionner. Le recourant ne peut pas non plus invoquer une violation du principe de l'égalité de traitement pour fonder sa qualité pour recourir, dès lors que l'admission du recours ne lui procure aucun avantage. Son recours tend en définitive uniquement à s'assurer que la réglementation communale soit appliquée sans dérogation, ce qui relève de l'action populaire. Recours irrecevable.</w:t>
      </w:r>
    </w:p>
    <w:p>
      <w:pPr>
        <w:pStyle w:val="Heading2"/>
      </w:pPr>
      <w:r>
        <w:t>Erwägungen</w:t>
      </w:r>
    </w:p>
    <w:p>
      <w:r>
        <w:rPr>
          <w:b/>
        </w:rPr>
        <w:t>E. 1</w:t>
      </w:r>
    </w:p>
    <w:p>
      <w:r>
        <w:t>La qualité pour agir du recourant est contestée.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(AC.2012.0113 du 13 juillet 2012;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d'une application correcte de la loi ou dans l'intérêt d'un tiers, sans obtenir un avantage en cas d'admission du recours est, en revanche, irrecevable (cf ATF 137 II 30 consid. 2.2.3; AC.2012.0001 du 9 novembre 2011). Ces exigences ont été posées de manière à empêcher l'" action populaire ", lorsqu'un particulier conteste une autorisation donnée à un tiers (ATF 133 II 400 consid. 2.4.2 p. 406; 133 V 239 consid. 6.2 p. 242; 131 V 298 consid. 3 p. 300, et les arrêts cités; AC.2012.0113 précité; AC.2011.0274 du 4 mai 2012). Le voisin a qualité pour agir lorsque son terrain jouxte celui du constructeur ou se trouve à sa proximité immédiate (ATF 135 II 145 consid. 6.2 p. 152; 133 II 409 consid. 1.3 p. 413;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l'ATF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Il faut néanmoins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125 II 10 consid. 3a; ATF 1A.179/1996 du 8 avril 1997 in RDAF 1997 I p. 242). Il importe peu alors que le nombre de personnes touchées soit considérable, dans le cas d'un aéroport par exemple (ATF 124 II 293 consid. 3a).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(ATF 1A.11/2006 et 1P.41/2006 précité; 1A.47/2002 du 16 avril 2002). Il appartient au recourant d'établir son préjudice et plus généralement les éléments de fait permettant de conclure à la recevabilité de l'acte (ATF 133 II 249 consid. 1.1; AC.2011.0274 précité). b) En l'occurrence, le recourant ne conteste pas être domicilié à une distance d'environ 300 m de la parcelle à construire, de sorte que de ce point de vue, sa qualité pour agir doit être déniée. Il n'invoque par ailleurs aucune nuisance ou inconvénient que le projet litigieux serait susceptible de lui occasionner, indépendamment de cette distance. Il se prévaut uniquement d'une violation du principe de l'égalité de traitement pour fonder sa qualité pour agir, dès lors que son projet de construction a été refusé pour non-conformité à l'art. 3.1 RCAT alors que le projet litigieux a été mis au bénéfice d'une telle dérogation.</w:t>
      </w:r>
    </w:p>
    <w:p>
      <w:r>
        <w:rPr>
          <w:b/>
        </w:rPr>
        <w:t>E. 2</w:t>
      </w:r>
    </w:p>
    <w:p>
      <w:r>
        <w:t>Le recourant se réfère en particulier à un arrêt de la Cour de céans (AC.2008.0261 du 20 avril 2009). a) Dans cet arrêt portant sur un projet de construction d'un hangar agricole, le tribunal s'est interrogé sur la qualité pour recourir d'un propriétaire de parcelles sises à plusieurs centaines de mètres de celle du constructeur et qui se prévalait d'une situation de concurrence avec ce dernier, tous deux étant exploitants agricoles. Dans la mesure où le recourant s'était vu refuser la construction d'un hangar, se posait une question d'égalité de traitement. Le tribunal a considéré que sa qualité pour recourir devrait a priori être reconnue sur cette base, tout en laissant la question ouverte, le recours étant rejeté au fond (AC.2008.0261 précité, consid. 1c). b) Cette question n'a ainsi pas été tranchée dans l'arrêt précité et semble par ailleurs se référer à la jurisprudence de l'ancienne Commission cantonale de recours en matière de construction qui étendait le droit de recours à chaque propriétaire d'une commune pour le motif qu'il était fondé à faire vérifier si le respect d'une réglementation à laquelle son propre fonds se trouvait soumis était imposée également de manière identique aux autres administrés. Mais cette jurisprudence n'a pas été reprise par le Tribunal administratif, auquel a succédé la CDAP, qui a exigé que le recourant soit personnellement et directement touché par la décision délivrant un permis de construire (voir Etienne Poltier, la Juridiction administrative vaudoise, RDAF 1994 p. 241 ss, voir également Roland Bersier , la procédure devant la Commission cantonale vaudoise de recours en matière de police des constructions, RDAF 1981 p. 137 ss, p. 150 et 151; AC.2010.0199 du 29 mars 2011). Conformément à la jurisprudence rappelée ci-dessus (consid. 1), l'intérêt digne de protection qui fonde la qualité pour recourir implique que l'admission du recours procure au recourant un avantage, de nature économique, idéale ou matérielle. En l'occurrence, on ne perçoit pas quel avantage le recourant pourrait tirer de l'admission de son recours qui conclut à l'annulation de la décision attaquée. Une telle conclusion tend au contraire uniquement à s'assurer que la réglementation communale soit appliquée sans dérogation, ce qui relève de l'action populaire, précisément prohibée. Il résulte de ce qui précède que la qualité pour recourir du recourant doit lui être déniée.</w:t>
      </w:r>
    </w:p>
    <w:p>
      <w:r>
        <w:rPr>
          <w:b/>
        </w:rPr>
        <w:t>E. 3</w:t>
      </w:r>
    </w:p>
    <w:p>
      <w:r>
        <w:t>Le recours est en conséquence irrecevable. Il se justifie de mettre les frais de justice à la charge du recourant qui succombe (art. 49 LPA-VD), étant précisé que ces frais seront réduits pour tenir compte du fait que seule la question de la recevabilité a été examinée par le tribunal . La municipalité, qui a procédé avec l'assistance d'un mandataire professionnel, a droit à des dépens, également à la charge du recourant qui succombe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