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AC.2012.0184 vom 28. März 2013</w:t>
      </w:r>
    </w:p>
    <w:p>
      <w:r>
        <w:t>VD Tribunal cantonal, 2013-03-28, FR</w:t>
      </w:r>
    </w:p>
    <w:p>
      <w:r>
        <w:rPr>
          <w:b/>
        </w:rPr>
        <w:t xml:space="preserve">Quelle: </w:t>
      </w:r>
      <w:r>
        <w:t>https://mcp.opencaselaw.ch/entscheid/vd_omni_AC.2012.0184</w:t>
      </w:r>
    </w:p>
    <w:p>
      <w:r>
        <w:t>FR: VD_OMNI AC.2012.0184 du 28 mars 2013</w:t>
      </w:r>
    </w:p>
    <w:p>
      <w:r>
        <w:t>IT: VD_OMNI AC.2012.0184 del 28 marzo 2013</w:t>
      </w:r>
    </w:p>
    <w:p>
      <w:pPr>
        <w:pStyle w:val="Heading2"/>
      </w:pPr>
      <w:r>
        <w:t>Regeste</w:t>
      </w:r>
    </w:p>
    <w:p>
      <w:r>
        <w:t>COLLÉ, PANCHAUD/Municipalité de Perroy, PETERER | Recours déposé par des voisins à l'encontre d'une autorisation de construire une villa avec piscine. Examen de la question de savoir si l'intervention des recourants lors de l'enquête publique devait être considérée comme une opposition. La qualification d'opposition ne doit pas être trop restrictive. En l'occurrence, il ressort implicitement des courriers des recourants qu'ils entendaient s'opposer au projet tant que les constructeurs ne confirmaient pas leurs engagements pris antérieurement; en outre, en réservant leurs droits, ils sous-entendaient implicitement qu'ils envisageaient la possibilité de déposer ultérieurement un recours, ce qui renforçait le fait qu'ils contestaient le projet tel qu'il était mis à l'enquête publique. Les recourants ont donc bien participé à la procédure antérieure en déposant une opposition, de sorte que leur recours est recevable (consid. 1).</w:t>
      </w:r>
    </w:p>
    <w:p>
      <w:pPr>
        <w:pStyle w:val="Heading2"/>
      </w:pPr>
      <w:r>
        <w:t>Erwägungen</w:t>
      </w:r>
    </w:p>
    <w:p>
      <w:r>
        <w:rPr>
          <w:b/>
        </w:rPr>
        <w:t>E. 1</w:t>
      </w:r>
    </w:p>
    <w:p>
      <w:r>
        <w:t>La municipalité et les constructeurs contestent la qualité pour recourir de Fabienne et Anthony Collé au motif qu’ils n’auraient pas déposé d’opposition. a) L’art. 75 al. 1 let. a de la loi du 28 octobre 2008 sur la procédure administrative (LPA-VD ; RSV 173.31) prévoit qu’a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Selon la jurisprudence, l’exigence de l’art. 75 al. 1 er let. a LPA-VD selon laquelle la qualité pour recourir nécessite notamment d’avoir participé à la procédure antérieure implique, en matière de permis de construire, d’avoir déposé une opposition en temps utile (arrêts AC. 2010.0019 du  12 novembre 2010 consid. 1b ; AC.2009.0251 du 17 septembre 2010 consid. 1b ; AC.2009.0216 du 22 juillet 2010 consid. 1). b) En l’espèce, les recourants Collé ont déposé deux écritures dans le délai d’enquête publique. La première, datée du</w:t>
      </w:r>
    </w:p>
    <w:p>
      <w:r>
        <w:rPr>
          <w:b/>
        </w:rPr>
        <w:t>E. 5</w:t>
      </w:r>
    </w:p>
    <w:p>
      <w:r>
        <w:t>Les recourants Collé invoquent une violation des art. 5.1 et 8.2 RGCAT. Ils mettent en cause la différence de niveaux entre le futur chemin d’accès prévu côté Est de la parcelle n° 375 et celui situé en parallèle qui mène à leur parcelle. Ils font valoir que cette différence est significative et qu’elle est inadaptée au vu de la configuration du terrain naturel ; en outre, ils relèvent que le mur de soutènement prévu à l’Est du chemin - évoqué par l’architecte des constructeurs dans un courrier - ne figure pas sur les plans d’enquête. Ils soutiennent par conséquent que la demande de permis de construire mise à l’enquête est incomplète, respectivement que le mur en question n’a pas fait l’objet d’une demande de permis, en violation de la réglementation en vigueur. Les recourants Panchaux soutiennent également que la construction de la piscine, de la terrasse qui la borde et des murs qui entourent l’entier de l’ouvrage entraîne une modification du terrain qui ne respecte pas la configuration du terrain naturel au sens de l’art. 8.2 RGCAT. Ils relèvent que, au coin sud de la terrasse-piscine, les murs totalisent plus de 3,3 m et que si l’on admet que le terrain est en devers (d’Ouest en Est), la hauteur totale des murs de soutènement au coin Sud-Est de la parcelle se monte à 3, 7 m (un mur de 2 m suivi d’un second mur de 1,7 m). a) aa) Les art. 5.1 et 8.2 RGCAT ont la teneur suivante : « 5.1 La situation d’une construction nouvelle doit être choisie en tenant compte des caractéristiques du lieu, de la configuration du terrain naturel et de l’implantation des bâtiments existant à proximité. Pour des raisons d’unité ou d’harmonie ou pour tenir compte d’un état futur projeté, la municipalité peut imposer l’implantation du bâtiment tant en ce qui concerne sa situation que les altitudes à respecter. » « 8.2  Les mouvements de terre effectués à proximité des constructions et des installations doivent être conçus de façon à respecter la configuration générale du terrain naturel. » bb) De manière générale, l a réglementation communale sur les mouvements de terre a essentiellement pour but d’assurer une implantation harmonieuse des constructions dans le terrain (cf. arrêts AC. 2009.0263 et 2010.0095 du 15 décembre 2010 consid. 4a ; AC.2008.0279 du 11 mai 2009 consid. 4a) et elle laisse un large pouvoir d'appréciation à la municipalité (arrêts AC. 2009.0263 et 2010.0095 précités consid. 4a AC.2006.0268 du 22 juin 2007 consid. 8). Il s’agit avant tout d’éviter que des déblais ou remblais excessifs ne provoquent soit une hauteur apparente disproportionnée de la façade en cas d'excavations trop importantes, soit des terrasses surplombant les parcelles voisines et créant ainsi des promontoires inesthétiques ( arrêts AC. 2009.0263 et 2010.0095 précités consid. 4a ; AC.2006.0044 du 30 octobre 2006). Aussi, lorsque la réglementation communale ne fixe pas la hauteur maximum des mouvements de terre, cette hauteur doit-elle être appréciée dans le cadre de l’application de la clause d’esthétique ( arrêts AC. 2009.0263 et 2010.0095 précités consid. 4a ; AC.2003.0256 du 7 septembre 2004 consid. 7). Lors de l’audience, la municipalité a précisé qu’elle interprétait l’art. 8.2 RGCAT en ce sens que les mouvements de terre devaient rester dans une proportion raisonnable et que des aménagements plus ou moins lourds pouvaient être admis lorsque la configuration du terrain l’obligeait et que la solution retenue ne gênait pas les voisins. Elle a également fait état d’une pratique municipale consistant à n’autoriser que des murs d’une hauteur de deux mètres au maximum. b) aa) En ce qui concerne tout d’abord le chemin d’accès projeté côté Est de la parcelle, la municipalité relève, en se référant au plan du rez, que la première partie du chemin suit le profil du terrain en limite Est et que les écarts entre les altitudes du terrain fini et celles des altitudes en bordure de parcelle sont minimes. Les constructeurs relèvent pour leur part que tous les niveaux du futur chemin, de même que ceux en bordure de parcelle, apparaissent clairement sur les plans, que les mouvements de terre ont été dictés par les murs et chemins des constructions voisines et par le respect des servitudes de passage, que la différence de niveaux entre les deux chemins parallèles, au point le plus défavorable, s’élève à 45 cm, et cela à une distance de 90 cm par rapport à la limite, et que toute la partie supérieure du chemin suit la pente du chemin accédant à la parcelle no 842. Lors de l’audience, les architectes des constructeurs ont confirmé que la différence de niveaux avec la propriété voisine s’élevait à 45 cm au point le plus défavorable, de sorte qu’un mur de soutènement n’était pas nécessaire. L’examen des plans confirme ces éléments. Le tribunal relèvera que l’aménagement du chemin d’accès prévu sur la parcelle n° 375 est effectivement dicté par la nature des lieux et qu’une différence de niveaux de moins de 50 cm entre les deux chemins ne pose pas de problème particulier et peut être admis au regard de 8.2 RGCAT. Lors de l’audience, les recourants Collé ont au demeurant admis qu’ils ne contestaient pas véritablement l’aménagement du chemin. bb) En ce qui concerne la piscine, la terrasse qui la borde et les murs qui entourent l’entier de l’ouvrage, on se trouve en présence d’un aménagement massif se présentant sous la forme d’une plateforme ou d’un promontoire qui ne respecte en rien le terrain naturel. La succession de murs ne suffit pas à justifier l’altitude de la plateforme dans laquelle s’inscrit la piscine, plateforme située à l’altitude de 549,10 m, non compris les balustrades qui l’entourent. On relève notamment que, séparé en deux éléments par une plate-forme d’environ 1.8 m de large, le mur qui est prévu au Sud pour soutenir cet aménagement mesurera dans l’angle Sud-Est 2 m dans sa première partie située en bordure des vignes, puis 1,3 m dans sa seconde partie située en bordure de la piscine, soit au total 3,3 m. Même s’il est vrai que la nature du terrain dans le secteur implique généralement des modifications du terrain naturel et la construction de murs de soutènement, on se trouve en présence d’un aménagement dont les dimensions et l’impact pour le voisinage (notamment pour les voisins Collé situés en contrebas puisque le terrain est en dévers d’Ouest en Est) sont sans commune mesure avec ce qui existe dans les environs. Contrairement à ce que les représentants de la municipalité ont soutenu en audience, les murs de soutènement de la piscine et de la terrasse auront ainsi un impact plus important, notamment pour les recourants Collé, que celui érigé par leurs voisins Panchaux pour remplacer le talus qui  existait sur  leur parcelle. Les mouvements de terre qu’implique la construction de la piscine et de sa terrasse ne respectent ainsi pas le principe figurant à l’art. 8.2 RGCAT selon lequel les mouvements de terre effectués à proximité des constructions et des installations doivent être conçus de façon à « respecter la configuration générale du terrain naturel ». Même s’il convient de tenir compte d’une certaine latitude de jugement de la municipalité dans l’application de ce principe et du respect de l’égalité de traitement avec les propriétaires voisins, la violation de l’exigence posée à l’art. 8.2 RGCAT est en l’occurrence telle qu’elle ne saurait être admise par le tribunal. Le recours doit par conséquent être admis pour ce motif. On relèvera encore que l’argument invoqué par les constructeurs lors de l’audience selon lequel la hauteur de l’aménagement accueillant leur piscine serait justifié par l’entrave que subit leur vue sur le lac côté Sud-Ouest en raison de la terrasse des voisins Panchaud n’est pas pertinent dès lors que cette limitation de vue n’est que la conséquence de la configuration des lieux caractérisée par un terrain naturel en dévers d’Ouest en Est. De même, n’est pas pertinent leur argument consistant à soutenir qu’un abaissement du niveau de la terrasse et de la piscine rendrait la pente du chemin menant au garage souterrain impraticable. Il n’est en effet pas admissible de justifier une violation du règlement par la présence d’un autre élément du projet auquel les constructeurs pourraient renoncer.</w:t>
      </w:r>
    </w:p>
    <w:p>
      <w:r>
        <w:rPr>
          <w:b/>
        </w:rPr>
        <w:t>E. 5.7</w:t>
      </w:r>
    </w:p>
    <w:p>
      <w:r>
        <w:t>RGCAT. Les recourants Collé relèvent également que la piscine est construite intégralement au-dessus du terrain naturel sur ses façades Sud, Est et Ouest et qu’à celle-ci est joint un petit bâtiment de 23,65 m 2 sis à l’est (local technique), qui se situe en-dessus du terrain naturel et ne respecte pas la distance de 10 m par rapport aux autres constructions puisqu’il se trouve à 4,5 m du garage prévu au Sud de la villa et de l’extension de ce garage avec sa salle de bain et son antichambre. a) Les règles relatives aux distances aux limites et aux distances entre bâtiments sis sur la même propriété figurent aux art. 5.3 à 5.8 RGCAT dont la teneur est la suivante : « 5.3  Dans les autres zones, l’ordre non contigu est de règle. La municipalité peut toutefois autoriser la construction de bâtiments accolés, séparés ou non par une limite de propriété, aux conditions suivantes : -    les bâtiments forment un ensemble tant en ce qui concerne la conception que la réalisation ; -    l’ensemble des bâtiments est constitué d’entités séparées sous réserve de locaux de service qui peuvent être organisés en commun ; -    l’ensemble des bâtiments est considéré comme une seule construction pour la détermination de la capacité constructive du terrain. 5.4     A défaut de dispositions ou de plans fixant la limite des constructions, les bâtiments non mitoyens doivent être implantés au moins à la distance « d » des limites de propriété. Cette distance se mesure perpendiculairement à la limite jusqu’à la partie du bâtiment la plus proche de la limite. Les valeurs limites sont les suivantes : […] -    zone faible densité                   d : 5.00 m […] 5.5     Une distance minimum « D » doit être respectée entre deux bâtiments distincts implantés sur la même propriété. Cette distance se mesure entre les parties les plus rapprochées des deux bâtiments. Les valeurs limitent sont les suivantes : […] -    zone faible densité                   D : 10,00 m […] Si les dispositions applicables en matière de protection contre l’incendie sont respectées, la distance minimum entre deux bâtiments distincts édifiés sur la même propriété peut être réduite jusqu’à 3,00 m dans les cas suivants : - entre un bâtiment principal et ses dépendances lorsque ces constructions forment ensemble un tout fonctionnellement indissociable ; - entre façades aveugles ou entre parties aveugles des façades. 5.6     Les constructions enterrées ou partiellement enterrées peuvent être implantées, sur deux de leurs côtés au plus, jusqu’à la limite de la propriété aux conditions suivantes : - ¼ du volume construit au maximum peut émerger du terrain naturel ; - une seule face de la construction peut être entièrement dégagée ; - la toiture doit être engazonnée, plantée ou aménagée en terrasse accessible ; - ces constructions ne peuvent servir ni à l’habitation ni à l’exercice d’une activité professionnelle et ne doivent pas présenter d’inconvénients majeurs pour le voisinage. Les dispositions de la loi cantonale sur les routes sont réservées. 5.7     La municipalité peut autoriser la construction, dans les espaces de non bâtir, entre deux bâtiments ou le long de la limite de la propriété, de petits bâtiments de moins de 40 m 2 de superficie et ne comprenant qu’un niveau au-dessus du sol. Ces petits bâtiments ne peuvent servir ni à l’habitation ni à l’exercice d’une activité professionnelle et ne doivent pas présenter d’inconvénients majeurs pour le voisinage. Les dispositions de la loi cantonale sur les routes sont réservées.</w:t>
      </w:r>
    </w:p>
    <w:p>
      <w:r>
        <w:rPr>
          <w:b/>
        </w:rPr>
        <w:t>E. 5.8</w:t>
      </w:r>
    </w:p>
    <w:p>
      <w:r>
        <w:t>Les parties de bâtiments non fermés, par exemple : marquises, balcons, loggias, terrasses, et les constructions assimilables à des aménagements extérieurs peuvent empiéter sur les espaces de non bâtir de la parcelle. La municipalité peut également autoriser, à titre précaire et moyennant convention, que des parties saillantes de bâtiments, par exemple : avant-toits, corniches, seuils, empiètent sur le domaine public pour autant que l’usage de cette surface n’en soit pas réduit. Les dispositions de la loi cantonale sur les routes sont réservées. » b) Pour ce qui est de la distance par rapport à la parcelle voisine à l’Ouest n° 374, l’élément qui pose problème est l’aménagement constitué par la piscine, la terrasse qui la borde et les murs qui entourent l’entier de l’ouvrage. Il convient d’examiner en premier lieu si cet aménagement est soumis aux règles sur les distances aux limites et entre bâtiments. aa) Selon la jurisprudence, l a question de savoir si un élément de construction doit être pris en compte dans le calcul de la distance aux limites doit, de manière générale, être examinée en fonction du but poursuivi par ce type de règle. Selon la jurisprudence, la réglementation sur la distance aux limites et entre bâtiments sur une même parcelle tend principalement à préserver un minimum de lumière, d'air et de soleil entre les constructions afin de garantir un aménagement sain et rationnel; elle a pour but d'éviter notamment que les habitants de bien-fonds contigus n'aient l'impression que la construction voisine les écrase. Elle vise également à garantir un minimum de tranquillité aux habitants. En application de ces principes, le critère pour déterminer si un élément de construction doit être qualifié d'avant-corps (et par conséquent être pris en compte dans le calcul de la distance aux limites) tient à son aspect extérieur et à sa volumétrie; si l'ouvrage, compte tenu de ses caractéristiques, apparaît pour l'observateur extérieur comme un volume supplémentaire du bâtiment, on devra considérer qu'il aggrave les inconvénients pour le voisinage et, par conséquent, qu'il doit respecter les distances aux limites et demeurer à l'intérieur du périmètre constructible (cf. AC.2006.247 du 31 janvier 2008, consid. 5 et les références citées). bb) En l’occurrence, la piscine et sa terrasse forment une plateforme massive de près de 180 m 2 comportant d’importants murs de soutènement sur trois de ses côtés. Cette plateforme apparaîtra dès lors comme un volume construit supplémentaire qui, par son ampleur et son impact sur le voisinage, ne saurait être assimilée à une simple terrasse ou à un aménagement extérieur au sens de l’art. 5.8 RGCAT. Elle doit par conséquent respecter la distance de 5 m par rapport à la parcelle voisine prévue par l’art. 5.4 RGCAT, exigence qui n’est pas respectée puisque le mur sis côté Ouest est implanté à 3 m de la parcelle voisine n° 374. On relèvera encore que la construction en cause ne saurait bénéficier du régime de l’art. 5.6 RGCAT dès lors que plus d’un ¼ du volume construit émerge du terrain naturel, ni du régime de l’art. 5.7 RGCAT dès lors que la surface de la construction est supérieure à 40 m 2 . cc) Vu ce qui précède, la distance à la limite de propriété côté Ouest n’est pas respectée et le recours doit par conséquent également être admis pour ce motif. c) Pourrait encore se poser la question de savoir si les différents éléments du projet (soit la villa, le garage prévu au Sud de la villa et son extension au Nord et la plateforme supportant la piscine et sa terrasse) doivent être considérés comme des constructions distinctes qui doivent respecter entre elles les distances entre bâtiments prévues à l’art. 5.5 RGCAT. Sur ce point, on constate une certaine contradiction dans l’argumentation des recourants Collé puisqu’ils invoquent ce moyen tout en soutenant par ailleurs dans leur mémoire complémentaire que l’on se trouvera en présence d’une construction qui apparaîtra unique avec une façade continue de 32,9 m. Dès lors que le recours doit être admis et le permis de construire annulé pour les motifs évoqués ci-dessus, la question de la conformité du projet au regard de l’art. 5.5 RGCAT souffre de demeurer indécise.</w:t>
      </w:r>
    </w:p>
    <w:p>
      <w:r>
        <w:rPr>
          <w:b/>
        </w:rPr>
        <w:t>E. 6</w:t>
      </w:r>
    </w:p>
    <w:p>
      <w:r>
        <w:t>Les recourants Collé et Panchaud soutiennent que le mur situé à l’Ouest de la terrasse et de la piscine ne respecte pas la distance de 5 m par rapport à la limite de la parcelle voisine prévue par l’art. 5.4 RGCAT. Ils font valoir que, s’agissant de la distance à la  limite, l’ouvrage qui supporte la piscine ne peut pas bénéficier du régime particulier prévu par les art. 5.6 RGCAT, 5.7 RGCAT et art. 5.8 RGCAT. Les recourants Collé soutiennent également que, si l’on considère le garage du sous-sol, son extension, la salle de bain et son antichambre comme une construction indépendante, celle-ci ne respecte pas la distance minimale entre bâtiments distincts implantés sur la même propriété prévue par l’art. 5.5 RGCAT. Ils relèvent qu’une très grande partie de ce bâtiment est construite au-dessus du terrain naturel et que, compte tenu de sa surface (61 m 2 ), cette construction ne peut pas bénéficier du régime particulier prévu pour les petits bâtiments par l’art.</w:t>
      </w:r>
    </w:p>
    <w:p>
      <w:r>
        <w:rPr>
          <w:b/>
        </w:rPr>
        <w:t>E. 7</w:t>
      </w:r>
    </w:p>
    <w:p>
      <w:r>
        <w:t>Il résulte de ce qui précède que le recours doit être admis. Vu le sort du recours, les frais de la cause sont mis à la charge de la constructrice (cf. RDAF 1994 I p. 324). Cette dernière versera en outre des dépens aux recourants, qui ont agi par l’intermédiaire de mandataires professionnels.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