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AC.2012.0182 vom 23. September 2013</w:t>
      </w:r>
    </w:p>
    <w:p>
      <w:r>
        <w:t>VD Tribunal cantonal, 2013-09-23, FR</w:t>
      </w:r>
    </w:p>
    <w:p>
      <w:r>
        <w:rPr>
          <w:b/>
        </w:rPr>
        <w:t xml:space="preserve">Quelle: </w:t>
      </w:r>
      <w:r>
        <w:t>https://mcp.opencaselaw.ch/entscheid/vd_omni_AC.2012.0182</w:t>
      </w:r>
    </w:p>
    <w:p>
      <w:r>
        <w:t>FR: VD_OMNI AC.2012.0182 du 23 septembre 2013</w:t>
      </w:r>
    </w:p>
    <w:p>
      <w:r>
        <w:t>IT: VD_OMNI AC.2012.0182 del 23 settembre 2013</w:t>
      </w:r>
    </w:p>
    <w:p>
      <w:pPr>
        <w:pStyle w:val="Heading2"/>
      </w:pPr>
      <w:r>
        <w:t>Regeste</w:t>
      </w:r>
    </w:p>
    <w:p>
      <w:r>
        <w:t>BENEY/Municipalité de La Sarraz, CODIMMO SA, ALBERTANO, DEVELEY, CUHAT, NICOLET, BROCARD, AGOLINO, CORDEY, VANNOD, ZALI, Service des routes | Conditions auxquelles un accès direct sur une route cantonale peut être autorisé par le Service des routes. Si l'accès est susceptible de provoquer une augmentation des nuisances pour le voisinage (sortie de parking), il appartient au Service des routes, qui statue en application de l'art. 32 al. 2 LRou, de solliciter le préavis du SEVEN (actuellement DGE) pour vérifier si les prescriptions de l'ordonnance sur la protection contre le bruit sont respectées (art. 2 du règlement vaudois d'application de la LPE; RVLPE; RSV 814.01), et, le cas échéant, fixer les conditions nécessaires au respect des valeurs limites.</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Le Tribunal fédéral a précisé que l'intérêt pratique et concret du recourant consiste en ceci que le projet de construction ne sera pas réalisé si le grief est admis. Par exemple, un intérêt digne de protection ne peut être dénié au recourant qui fait valoir que l'accès au fonds voisin serait insuffisant dès lors que l'équipement est une condition à l'octroi du permis de construire. Il en va de même pour les griefs concernant la non-conformité à l'affectation de la zone, ou au nombre insuffisant de places de parc ou encore au choix des couleurs et des matériaux de construction (ATF 1C_317/2010 du 15 décembre 2010; 1C_236/2010 du 16 juillet 2010). Ainsi, le Tribunal fédéral a reconnu un intérêt digne de protection aux propriétaires riverains pour contester l'autorisation d'immerger deux corps-morts situés à 180 m de la rive en raison des restrictions à la vue dont ils jouissaient depuis le lac sur la rive opposée; cette situation suffisait pour considérer qu'ils étaient atteints de manière spéciale et directe et dans une mesure plus sensible que les autres administrés par l’installation litigieuse (ATF 1C_152/2012 du 21 mai 2012 consid. 2.2). Il a également reconnu un intérêt digne de protection aux recourants domiciliés dans le périmètre d'un plan de réaménagement routier de nature à entraîner une augmentation du trafic à l’horizon 2020 dans la rue desservant leurs habitations (ATF 1C_417/2011 du 4 juin 2012 consid. 1.2), voir aussi l’ATF 1C_2/2010 du 23 mars 2010 consid. 5). c) En l'espèce, les recourants sont propriétaires d'une habitation située directement vis-à-vis de la sortie prévue pour le parking souterrain sur la route cantonale 251b. Il est vraisemblable que la réalisation du projet et l'exploitation du parking entraîneront une augmentation des inconvénients pour les recourants, notamment par une augmentation des nuisances de bruit liée à l'entrée et à la sortie des véhicules dans le parking. Par ailleurs, le projet présente une volumétrie relativement importante en créant une rupture d'échelle avec les constructions individuelles situées de l'autre côté de la rue du Chêne, situation qui permet aussi de reconnaître aux recourants un intérêt digne de protection à contester la décision attaquée.</w:t>
      </w:r>
    </w:p>
    <w:p>
      <w:r>
        <w:rPr>
          <w:b/>
        </w:rPr>
        <w:t>E. 2</w:t>
      </w:r>
    </w:p>
    <w:p>
      <w:r>
        <w:t>et présente un volume supplémentaire de 481,22 m</w:t>
      </w:r>
    </w:p>
    <w:p>
      <w:r>
        <w:rPr>
          <w:b/>
        </w:rPr>
        <w:t>E. 3</w:t>
      </w:r>
    </w:p>
    <w:p>
      <w:r>
        <w:t>Les recourants soutiennent encore que le parking souterrain projeté serait soumis au règlement sur le plan général d'affectation, de sorte que le garage souterrain n'aurait pas place dans les espaces réglementaires non constructibles. a) L'art. 15 RPQ règlemente les constructions souterraines de la manière suivante : " Art. 15 Constructions souterraines La surface des constructions souterraines ne compte pas comme surface bâtie ou de plancher et peut dépasser les périmètres d'implantations pour autant que les constructions soient recouvertes par 50 cm de terre au moins ou soient accessibles comme terrasses publiques. Les dispositions de l'art. 101 RPE sont applicables". L'art. 101 du règlement communal sur le plan général d'affectation et la police des constructions de la Commune de La Sarraz (RPGA), approuvé par le Conseil d'Etat le 6 août 1993, interdit les mouvements de terre en remblai ou en déblai de plus ou moins un mètre cinquante à partir du terrain naturel. Font exception à cette règle, les excavations et les rampes d'accès à des garages enterrés. La municipalité peut toutefois autoriser les mouvements de terre plus importants pour des motifs objectivement fondés, le terrain fini devant être en continuité avec les parcelles voisines. L’art. 101 RPGA est identique à l’art 101 du premier règlement communal sur le plan d’extension et la police des constructions approuvé par le Conseil d’Etat le 27 mai 1983 (RPE), qui était en vigueur au moment de l’approbation du plan de quartier. Le tribunal constate que tant l’art. 15 RPQ que l’art. 101 RPGA sont respectés par le projet litigieux. b) Les recourants soutiennent toutefois que les art. 98A et 98C RPGA seraient applicables au parking souterrain projeté, lequel ne respecterait pas ces dispositions. Les art. 98A et 98C RPGA sont formulés dans les termes suivants: " Art. 98A Locaux souterrains Sont considérés comme locaux souterrains, les locaux dans les sous-sols complètement enterrés, pour autant qu'ils soient recouverts d'une couche de terre végétale de 50 cm. au moins. Cependant, ces sous-sols ne doivent pas modifier le profil du terrain naturel ou aménagé en déblai. La distance à la limite sera de 1 m au moins." Art. 98C Surface et volume des constructions enterrées et semi-enterrées La surface des constructions enterrées et semi-enterrées ne peut excéder 1/10 de la surface de la parcelle. Les sous-sols du bâtiment principal ne sont pas pris en compte". Il n'apparaît toutefois pas que les règles du plan général d'affectation autres que l'art. 101 RPGA soient applicables aux constructions souterraines prévues par le plan de quartier. En effet, les art. 98A et 98C ont été introduit dans la réglementation communale lors de la révision du règlement approuvée par le Conseil d’Etat en 1993 et il n’existait pas de dispositions comparables dans l’ancien RPE de 1983. L’art 98A RPGA semble d’ailleurs faire double emploi avec l’art. 15 RPQ, qui réglemente de manière exhaustive, les conditions applicables aux constructions souterraines. Le tribunal arrive ainsi à la conclusion que les art. 98A et 98C ne sont pas applicable au projet litigieux, lequel respecte les dispositions de l’art. 15 RPQ en ce qui concerne les constructions souterraines, en particulier, l’exigence de la couverture d’une couche de terre végétale de 50 cm. au moins.</w:t>
      </w:r>
    </w:p>
    <w:p>
      <w:r>
        <w:rPr>
          <w:b/>
        </w:rPr>
        <w:t>E. 4</w:t>
      </w:r>
    </w:p>
    <w:p>
      <w:r>
        <w:t>a) Les recourants critiquent également l'accès du parking souterrain sur la route cantonale et ils invoquent l'art. 32 de la loi sur les routes du 10 décembre 1991 (LRou; RSV 725.01). L'art. 32 LRou est formulé dans les termes suivants: " Art. 32  Accès : a) règle générale 1. l'aménagement d'un accès privé aux routes cantonales est soumis à l'autorisation du Département; pour les routes communales, l'autorisation est délivrée par la municipalité. 2. l'autorisation n'est donnée que si l'accès est indispensable pour les besoins du fond, s'il correspond à l'usage commun de la route, en particulier, s'il ne résulte pas d'inconvénient pour la fluidité ou la sécurité du trafic, et si l'accès envisagé s'intègre à l'aménagement du territoire et à l'environnement". Interpellé sur la question de l'accès à la route cantonale, le Service des routes s'est déterminé dans les termes suivants: "(…) Conformément à l'art. 32 de la loi sur les routes (ci-après: LRou), l'aménagement d'un accès privé à une route cantonale est soumis à autorisation. Dans le cadre de l'enquête CAMAC No 124545, le SR a préavisé favorablement au projet et a, dès lors, implicitement autorisé l'accès susmentionné. Le SR s'est limité dans cette affaire à contrôler le respect de l'application de la législation routière et des normes VSS relatives à la circulation ainsi qu'à la sécurité. Rien ne s'oppose à ce titre à la localisation de la sortie du parking sur la route cantonale 251 en traversée de localité. Dès lors que le projet respecte les dispositions légales et les normes VSS applicables en la matière, le SR n'a plus à se prononcer sur le projet, notamment sur le fait que le document de planification prévoit, à titre indicatif, des accès par l'arrière des constructions et non un accès direct sur la route cantonale. (…)" b) Toutefois, l'art. 32 al. 2 LRou précise que l'autorisation n'est donnée que si l'accès est " indispensable " pour les besoins du fond et s’il s’intègre à l’aménagement du territoire et à l’environnement. Le Service des routes ne doit donc pas limiter son examen aux questions de fluidité du trafic et de sécurité, mais englober aussi les aspects qui relèvent à la fois de l’aménagement du territoire et de la protection de l’environnement et apprécier aussi le caractère indispensable de l’accès privé sur la route. c) En ce qui concerne la condition du caractère indispensable de l'accès sur la route cantonale, le plan de quartier lui-même prévoit un accès au projet contesté au nord, par le chemin des Liappes. Il est vrai toutefois que la configuration des lieux ne se prête pas à un accès au parking souterrain par le nord. Il existe en effet une très forte différence de niveau entre le niveau du parking mentionné à l'altitude 473.90 et le niveau du terrain naturel au droit de l'accès existant (ch. des Liappes) qui présente l'altitude de 479.46 m. dans sa partie inférieure. Il existe donc une différence d'un peu moins de 6 m. entre le niveau de l’accès par le nord et le parking souterrain. Dans ces conditions, il apparaît que l'aménagement d'une rampe d'accès au parking souterrain depuis le nord engendre des complications d’ordre technique par l’emprise de la rampe d’accès sur les surfaces constructibles des périmètres d’implantation; une telle emprise réduirait les possibilités de construire prévues par le plan de quartier de manière contraire aux objectifs d’urbanisation du secteur, tels qu’ils sont prévus par le plan de quartier. Le caractère indispensable de l’accès peut donc être admis. Toutefois, l’accès au parking est prévu directement en face de la propriété des recourants et le Service des routes ne s’est pas prononcé sur les aspects relatifs à la protection de l’environnement, notamment en ce qui concerne la question du bruit provoqué par l’utilisation de l’accès dans son autorisation. En effet l’art. 2 du règlement du</w:t>
      </w:r>
    </w:p>
    <w:p>
      <w:r>
        <w:rPr>
          <w:b/>
        </w:rPr>
        <w:t>E. 8</w:t>
      </w:r>
    </w:p>
    <w:p>
      <w:r>
        <w:t>novembre 1989 d'application de la loi fédérale du 7 octobre 1983 sur la protection de l'environnement (RVLPE ; RSV 814.01.1) prévoit que l'application de la législation sur la protection de l'environnement incombe aux autorités cantonales et communales dans le cadre des compétences qui leur sont attribuées par les lois et règlements en vigueur, soit l’autorisation cantonale prévue pour les accès privés sur les routes cantonales par l’art. 32 LRou. Le Service des routes doit alors statuer sur les aspects de la protection de l’environnement sur la base du préavis du service cantonal spécialisé de la protection de l’environnement au sens de l’art. 42 de la loi fédérale sur la protection de l'environnement du 7 octobre 1983 (LPE; RS 814.01). Comme la décision attaquée doit de toute manière être annulée pour les motifs mentionnés au consid. 2 ci-dessus, il appartiendra au Service des routes, dans le cadre d’un nouveau projet que la constructrice pourrait déposer, de statuer à la fois sur les conditions d’accès à la route cantonale 251a et sur les aspects concernant la protection de l’environnement, en particulier, la question de la conformité à l’ordonnance sur la protection contre le bruit du 15 décembre 1986 (OPB; RS 814.41) de l’augmentation des nuisance liées à l’utilisation du parking. 5. a) Les recourants mentionnent encore dans leur recours le fait qu'il existerait trois valeurs différentes du terrain naturel sur le plan des façades ouest du bâtiment A et deux valeurs également différentes sur le plan de la façade du bâtiment B, ce qui constituerait à leur avis une violation de la disposition communale stipulant qu'une demande de permis de construire doit indiquer un repère de nivellement coté et l'altitude du terrain naturel ou aménagé en déblai. Les recourants ont complété leurs argumentation dans leur mémoire complémentaire en précisant, qu'à leur avis, le terrain naturel qui devrait être pris en considération pour mesurer la hauteur des bâtiments devrait être celui existant au pied de l'ancien mur longeant les limites sud-ouest des parcelles 132, 133, 134 et 135. Ils se réfèrent à cet égard à une jurisprudence rendue le 9 juillet 2012 dans la cause AC.2011.0168 précisant que lorsqu'un mur retient en amont un remblai affleurant son couronnement, la hauteur doit être calculée depuis le pied du mur, en aval, à savoir depuis le terrain aménagé en déblai s'il est inférieur au terrain naturel (consid. 4 c, 3 ème paragraphe de l'arrêt précité). b) En l'espèce, la jurisprudence citée par les recourants concerne un litige relatif à la détermination de la hauteur d'un mur et d'une clôture, en particulier la manière d'interpréter l'art. 35 du règlement du plan de quartier au lieu "Le Chêne" approuvé le 18 mai 1984 par le Conseil d'Etat, disposition qui limite la hauteur des murs à une hauteur de 2 m. au maximum au-dessus du terrain aménagé. Cette jurisprudence n'est en conséquence pas applicable pour déterminer la hauteur d'une façade implantée à plus de 10 m. en retrait du mur. Dans un pareil cas, c'est seulement le terrain naturel ou aménagé en déblai situé au pied de la façade qui serait déterminant pour le calcul de la hauteur du bâtiment. c) Par ailleurs, le plan de situation du géomètre mentionne clairement les altitudes du terrain naturel aux quatre angles principaux du bâtiment A et aux quatre angles du bâtiment B. De plus, l'art. 7 RPQ précise que la hauteur maximale des constructions est fixée pour chaque périmètre par une cote d'altitude, de sorte que la hauteur ne dépend pas d'une mesure du terrain naturel au droit de la façade, mais seulement de l'altitude admissible au faîte des constructions selon les indications figurant sur le plan. Il n'y a donc pas lieu de déterminer si le terrain naturel doit être pris en considération au pied de l'ancien mur sur son couronnement ou sur les remblais qui ont été effectués probablement au siècle passé en amont de l'ancien mur. En effet, le niveau du terrain naturel au pied des façades ne joue pas de rôle pour le calcul de la hauteur qui est fixée de manière déterminante par l'altitude au faîte maximum admissible. En tout état de cause, le plan de situation du géomètre indique l'altitude de référence prise sur le point d'altitude 474.36 m, situé sur la limite du domaine public (parcelle DP n° 1020) sur lequel la route cantonale 251 a été construite et qui forme la rue du Chêne. 6. Les recourants se plaignent aussi d'une violation du droit d'être entendu; ils reprochent à la municipalité de ne pas s'être déterminée sur tous les griefs avancés de manière circonstanciée dans leur opposition du 19 décembre 2012. Ils invoquent l'art. 42 let. c LPA-VD qui prévoit que la décision doit indiquer les faits, les règles juridiques et les motifs sur lesquels elle s'appuie. a) Le droit d’être entendu garanti par l’art. 29 al. 2 Cst. comprend notamment l’obligation pour les autorités de motiver leurs décisions. La motivation doit alors être suffisante pour permettre à la personne touchée par la décision d’attaquer celle-ci à bon escient (ATF 125 II 369 consid. 2c p. 372). Il suffit cependant, selon la jurisprudence, que l’autorité mentionne, au moins brièvement, les motifs qui l’ont guidée et sur lesquels elle a fondé sa décision, de manière à ce que l’intéressé puisse se rendre compte de la portée de celle-ci et l’attaquer en connaissance de cause (ATF 121 I 54 consid. 2c p. 57). L’autorité n’est donc pas tenue de discuter de manière détaillée tous les arguments soulevés par les parties ni de réfuter expressément chacun de ceux-ci (ATF 129 I 232 consid. 3.2 p. 236 et les références citées). Il est vrai que la décision municipale levant l'opposition des recourants est succincte par rapport aux nombreux griefs soulevés dans l'opposition du 19 décembre 2012. Toutefois, les recourants ont eu la possibilité de développer tous les arguments qu'ils entendaient soulever contre le projet contesté; ils n'ont pas été entravés dans les possibilités de motiver leur recours contre la décision municipale. De plus, la commune a développé et précisé les arguments dans sa réponse au recours du 21 septembre 2012, écriture sur laquelle les recourants se sont encore prononcés par leur mémoire complémentaire du 17 octobre 2012. Ainsi, à supposer même que la décision attaquée ne soit pas suffisamment motivée, cette situation n'a pas porté préjudice aux recourants qui ont pu au contraire compléter leurs moyens en pleine de connaissance de cause dans le cadre de la procédure du recours (voir l’arrêt AC.2006.0165 du 15 février 2007). 7. Il résulte des considérants qui précèdent que le recours doit être admis pour le motif que le projet de construction déroge de manière importante au périmètre d'implantation prévu par le plan de quartier et qu'il ne respecte pas les décrochements prévus par ces périmètres dans leur principe. Dans ces conditions, la décision municipale doit être annulée. En ce qui concerne la répartition des frais et dépens, la jurisprudence a précisé que lorsque la procédure met en présence outre le recourant et l'autorité intimée une ou plusieurs autres parties dont les intérêts sont opposés à ceux du recourant, c'est en principe à la partie adverse, à l'exclusion de la collectivité publique dont la décision est annulée ou modifiée, de supporter les frais et dépens (RDAF 1994 p. 324). Il n'y a donc pas lieu de modifier cette pratique en l'espèce, de sorte que les frais de la procédure seront mis à la charge de la société promotrice. Il n'y a en outre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